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052" w:rsidRPr="003F41C1" w:rsidRDefault="00005AE0" w:rsidP="00AE337F">
      <w:pPr>
        <w:spacing w:after="0"/>
        <w:jc w:val="right"/>
        <w:rPr>
          <w:rFonts w:ascii="Calibri" w:eastAsia="Times New Roman" w:hAnsi="Calibri" w:cs="Calibri"/>
          <w:color w:val="7030A0"/>
          <w:sz w:val="36"/>
          <w:szCs w:val="36"/>
          <w:shd w:val="solid" w:color="FFFFFF" w:fill="auto"/>
          <w:lang w:eastAsia="ru-RU"/>
        </w:rPr>
      </w:pPr>
      <w:r>
        <w:rPr>
          <w:rFonts w:ascii="Calibri" w:eastAsia="Times New Roman" w:hAnsi="Calibri" w:cs="Calibri"/>
          <w:color w:val="7030A0"/>
          <w:sz w:val="36"/>
          <w:szCs w:val="36"/>
          <w:shd w:val="solid" w:color="FFFFFF" w:fill="auto"/>
          <w:lang w:eastAsia="ru-RU"/>
        </w:rPr>
        <w:t>Modelo mnemotécnico para la enseñanza del código de colores en resistores eléctricos</w:t>
      </w:r>
    </w:p>
    <w:p w:rsidR="00BD2E8F" w:rsidRPr="00AE337F" w:rsidRDefault="00AE337F" w:rsidP="00AE337F">
      <w:pPr>
        <w:spacing w:after="0"/>
        <w:jc w:val="right"/>
        <w:rPr>
          <w:rFonts w:ascii="Arial" w:hAnsi="Arial" w:cs="Arial"/>
          <w:i/>
          <w:sz w:val="20"/>
          <w:szCs w:val="24"/>
          <w:lang w:val="en-US"/>
        </w:rPr>
      </w:pPr>
      <w:r>
        <w:rPr>
          <w:rFonts w:ascii="Calibri" w:eastAsia="Times New Roman" w:hAnsi="Calibri" w:cs="Calibri"/>
          <w:color w:val="7030A0"/>
          <w:sz w:val="36"/>
          <w:szCs w:val="36"/>
          <w:shd w:val="solid" w:color="FFFFFF" w:fill="auto"/>
          <w:lang w:eastAsia="ru-RU"/>
        </w:rPr>
        <w:br/>
      </w:r>
      <w:proofErr w:type="spellStart"/>
      <w:r w:rsidR="00005AE0" w:rsidRPr="00AE337F">
        <w:rPr>
          <w:rFonts w:ascii="Calibri" w:eastAsia="Times New Roman" w:hAnsi="Calibri" w:cs="Calibri"/>
          <w:i/>
          <w:color w:val="7030A0"/>
          <w:sz w:val="28"/>
          <w:szCs w:val="36"/>
          <w:shd w:val="solid" w:color="FFFFFF" w:fill="auto"/>
          <w:lang w:eastAsia="ru-RU"/>
        </w:rPr>
        <w:t>Mnemonic</w:t>
      </w:r>
      <w:proofErr w:type="spellEnd"/>
      <w:r w:rsidR="00005AE0" w:rsidRPr="00AE337F">
        <w:rPr>
          <w:rFonts w:ascii="Calibri" w:eastAsia="Times New Roman" w:hAnsi="Calibri" w:cs="Calibri"/>
          <w:i/>
          <w:color w:val="7030A0"/>
          <w:sz w:val="28"/>
          <w:szCs w:val="36"/>
          <w:shd w:val="solid" w:color="FFFFFF" w:fill="auto"/>
          <w:lang w:eastAsia="ru-RU"/>
        </w:rPr>
        <w:t xml:space="preserve"> </w:t>
      </w:r>
      <w:proofErr w:type="spellStart"/>
      <w:r w:rsidR="00005AE0" w:rsidRPr="00AE337F">
        <w:rPr>
          <w:rFonts w:ascii="Calibri" w:eastAsia="Times New Roman" w:hAnsi="Calibri" w:cs="Calibri"/>
          <w:i/>
          <w:color w:val="7030A0"/>
          <w:sz w:val="28"/>
          <w:szCs w:val="36"/>
          <w:shd w:val="solid" w:color="FFFFFF" w:fill="auto"/>
          <w:lang w:eastAsia="ru-RU"/>
        </w:rPr>
        <w:t>model</w:t>
      </w:r>
      <w:proofErr w:type="spellEnd"/>
      <w:r w:rsidR="00005AE0" w:rsidRPr="00AE337F">
        <w:rPr>
          <w:rFonts w:ascii="Calibri" w:eastAsia="Times New Roman" w:hAnsi="Calibri" w:cs="Calibri"/>
          <w:i/>
          <w:color w:val="7030A0"/>
          <w:sz w:val="28"/>
          <w:szCs w:val="36"/>
          <w:shd w:val="solid" w:color="FFFFFF" w:fill="auto"/>
          <w:lang w:eastAsia="ru-RU"/>
        </w:rPr>
        <w:t xml:space="preserve"> </w:t>
      </w:r>
      <w:proofErr w:type="spellStart"/>
      <w:r w:rsidR="00005AE0" w:rsidRPr="00AE337F">
        <w:rPr>
          <w:rFonts w:ascii="Calibri" w:eastAsia="Times New Roman" w:hAnsi="Calibri" w:cs="Calibri"/>
          <w:i/>
          <w:color w:val="7030A0"/>
          <w:sz w:val="28"/>
          <w:szCs w:val="36"/>
          <w:shd w:val="solid" w:color="FFFFFF" w:fill="auto"/>
          <w:lang w:eastAsia="ru-RU"/>
        </w:rPr>
        <w:t>for</w:t>
      </w:r>
      <w:proofErr w:type="spellEnd"/>
      <w:r w:rsidR="00005AE0" w:rsidRPr="00AE337F">
        <w:rPr>
          <w:rFonts w:ascii="Calibri" w:eastAsia="Times New Roman" w:hAnsi="Calibri" w:cs="Calibri"/>
          <w:i/>
          <w:color w:val="7030A0"/>
          <w:sz w:val="28"/>
          <w:szCs w:val="36"/>
          <w:shd w:val="solid" w:color="FFFFFF" w:fill="auto"/>
          <w:lang w:eastAsia="ru-RU"/>
        </w:rPr>
        <w:t xml:space="preserve"> </w:t>
      </w:r>
      <w:proofErr w:type="spellStart"/>
      <w:r w:rsidR="00005AE0" w:rsidRPr="00AE337F">
        <w:rPr>
          <w:rFonts w:ascii="Calibri" w:eastAsia="Times New Roman" w:hAnsi="Calibri" w:cs="Calibri"/>
          <w:i/>
          <w:color w:val="7030A0"/>
          <w:sz w:val="28"/>
          <w:szCs w:val="36"/>
          <w:shd w:val="solid" w:color="FFFFFF" w:fill="auto"/>
          <w:lang w:eastAsia="ru-RU"/>
        </w:rPr>
        <w:t>teaching</w:t>
      </w:r>
      <w:proofErr w:type="spellEnd"/>
      <w:r w:rsidR="004F4D84" w:rsidRPr="00AE337F">
        <w:rPr>
          <w:rFonts w:ascii="Calibri" w:eastAsia="Times New Roman" w:hAnsi="Calibri" w:cs="Calibri"/>
          <w:i/>
          <w:color w:val="7030A0"/>
          <w:sz w:val="28"/>
          <w:szCs w:val="36"/>
          <w:shd w:val="solid" w:color="FFFFFF" w:fill="auto"/>
          <w:lang w:eastAsia="ru-RU"/>
        </w:rPr>
        <w:t xml:space="preserve"> </w:t>
      </w:r>
      <w:r w:rsidR="00005AE0" w:rsidRPr="00AE337F">
        <w:rPr>
          <w:rFonts w:ascii="Calibri" w:eastAsia="Times New Roman" w:hAnsi="Calibri" w:cs="Calibri"/>
          <w:i/>
          <w:color w:val="7030A0"/>
          <w:sz w:val="28"/>
          <w:szCs w:val="36"/>
          <w:shd w:val="solid" w:color="FFFFFF" w:fill="auto"/>
          <w:lang w:eastAsia="ru-RU"/>
        </w:rPr>
        <w:t>electric resistors</w:t>
      </w:r>
      <w:r w:rsidR="004F4D84" w:rsidRPr="00AE337F">
        <w:rPr>
          <w:rFonts w:ascii="Calibri" w:eastAsia="Times New Roman" w:hAnsi="Calibri" w:cs="Calibri"/>
          <w:i/>
          <w:color w:val="7030A0"/>
          <w:sz w:val="28"/>
          <w:szCs w:val="36"/>
          <w:shd w:val="solid" w:color="FFFFFF" w:fill="auto"/>
          <w:lang w:eastAsia="ru-RU"/>
        </w:rPr>
        <w:t xml:space="preserve"> color code</w:t>
      </w:r>
    </w:p>
    <w:p w:rsidR="00043839" w:rsidRPr="00D0634B" w:rsidRDefault="00043839" w:rsidP="000428BE">
      <w:pPr>
        <w:spacing w:after="0" w:line="360" w:lineRule="auto"/>
        <w:jc w:val="center"/>
        <w:rPr>
          <w:rFonts w:ascii="Arial" w:hAnsi="Arial" w:cs="Arial"/>
          <w:i/>
          <w:sz w:val="24"/>
          <w:szCs w:val="24"/>
          <w:lang w:val="en-US"/>
        </w:rPr>
      </w:pPr>
    </w:p>
    <w:p w:rsidR="00EB4283" w:rsidRPr="00285D9E" w:rsidRDefault="00AC321E" w:rsidP="00AE337F">
      <w:pPr>
        <w:spacing w:after="0"/>
        <w:jc w:val="right"/>
        <w:rPr>
          <w:rFonts w:ascii="Arial" w:hAnsi="Arial" w:cs="Arial"/>
          <w:b/>
          <w:szCs w:val="24"/>
          <w:lang w:val="es-ES"/>
        </w:rPr>
      </w:pPr>
      <w:r w:rsidRPr="00AE337F">
        <w:rPr>
          <w:rFonts w:ascii="Calibri" w:eastAsia="Calibri" w:hAnsi="Calibri" w:cs="Calibri"/>
          <w:b/>
          <w:sz w:val="24"/>
          <w:szCs w:val="24"/>
          <w:lang w:val="es-ES"/>
        </w:rPr>
        <w:t>José Genaro González Hernández</w:t>
      </w:r>
      <w:r w:rsidR="003F41C1" w:rsidRPr="0010548D">
        <w:rPr>
          <w:rFonts w:ascii="Arial" w:hAnsi="Arial" w:cs="Arial"/>
          <w:b/>
          <w:szCs w:val="24"/>
        </w:rPr>
        <w:br/>
      </w:r>
      <w:r>
        <w:rPr>
          <w:rFonts w:ascii="Calibri" w:eastAsia="Calibri" w:hAnsi="Calibri" w:cs="Calibri"/>
          <w:sz w:val="24"/>
          <w:szCs w:val="24"/>
          <w:lang w:val="es-ES"/>
        </w:rPr>
        <w:t>Universidad Tecnológica de Altamira</w:t>
      </w:r>
      <w:r w:rsidR="003F41C1">
        <w:rPr>
          <w:rFonts w:ascii="Arial" w:hAnsi="Arial" w:cs="Arial"/>
          <w:sz w:val="18"/>
          <w:szCs w:val="24"/>
        </w:rPr>
        <w:br/>
      </w:r>
      <w:hyperlink r:id="rId9" w:history="1">
        <w:r w:rsidR="00285D9E" w:rsidRPr="00AE337F">
          <w:rPr>
            <w:rFonts w:cs="Arial"/>
            <w:color w:val="FF0000"/>
            <w:sz w:val="24"/>
            <w:szCs w:val="24"/>
          </w:rPr>
          <w:t>jggonzalez@utaltamira.edu.mx</w:t>
        </w:r>
      </w:hyperlink>
    </w:p>
    <w:p w:rsidR="00FD562A" w:rsidRPr="000428BE" w:rsidRDefault="00FD562A" w:rsidP="00D62169">
      <w:pPr>
        <w:spacing w:after="0" w:line="240" w:lineRule="atLeast"/>
        <w:ind w:left="1416" w:right="5296" w:firstLine="708"/>
        <w:jc w:val="right"/>
        <w:rPr>
          <w:rFonts w:ascii="Arial" w:hAnsi="Arial" w:cs="Arial"/>
          <w:iCs/>
          <w:sz w:val="20"/>
          <w:szCs w:val="24"/>
        </w:rPr>
      </w:pPr>
    </w:p>
    <w:p w:rsidR="00606D0F" w:rsidRDefault="00606D0F" w:rsidP="00BD2F77">
      <w:pPr>
        <w:spacing w:after="0" w:line="240" w:lineRule="atLeast"/>
        <w:ind w:right="5296"/>
        <w:jc w:val="right"/>
        <w:rPr>
          <w:rFonts w:ascii="Arial" w:hAnsi="Arial" w:cs="Arial"/>
          <w:iCs/>
          <w:sz w:val="20"/>
          <w:szCs w:val="24"/>
        </w:rPr>
      </w:pPr>
    </w:p>
    <w:p w:rsidR="00217FC7" w:rsidRPr="003F41C1" w:rsidRDefault="00217FC7" w:rsidP="00BD2F77">
      <w:pPr>
        <w:spacing w:before="120" w:after="240" w:line="360" w:lineRule="auto"/>
        <w:rPr>
          <w:rFonts w:ascii="Calibri" w:eastAsia="Times New Roman" w:hAnsi="Calibri" w:cs="Calibri"/>
          <w:color w:val="7030A0"/>
          <w:sz w:val="28"/>
          <w:szCs w:val="28"/>
          <w:lang w:val="es-ES" w:eastAsia="es-ES"/>
        </w:rPr>
      </w:pPr>
      <w:r w:rsidRPr="003F41C1">
        <w:rPr>
          <w:rFonts w:ascii="Calibri" w:eastAsia="Times New Roman" w:hAnsi="Calibri" w:cs="Calibri"/>
          <w:color w:val="7030A0"/>
          <w:sz w:val="28"/>
          <w:szCs w:val="28"/>
          <w:lang w:val="es-ES" w:eastAsia="es-ES"/>
        </w:rPr>
        <w:t>Resumen</w:t>
      </w:r>
    </w:p>
    <w:p w:rsidR="009F5C38" w:rsidRPr="00A614A2" w:rsidRDefault="0021239B" w:rsidP="003F41C1">
      <w:pPr>
        <w:spacing w:before="120"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lenguaje es </w:t>
      </w:r>
      <w:r w:rsidR="00170874">
        <w:rPr>
          <w:rFonts w:ascii="Times New Roman" w:hAnsi="Times New Roman" w:cs="Times New Roman"/>
          <w:sz w:val="24"/>
          <w:szCs w:val="24"/>
        </w:rPr>
        <w:t xml:space="preserve">necesario </w:t>
      </w:r>
      <w:r w:rsidR="00731201">
        <w:rPr>
          <w:rFonts w:ascii="Times New Roman" w:hAnsi="Times New Roman" w:cs="Times New Roman"/>
          <w:sz w:val="24"/>
          <w:szCs w:val="24"/>
        </w:rPr>
        <w:t>para</w:t>
      </w:r>
      <w:r>
        <w:rPr>
          <w:rFonts w:ascii="Times New Roman" w:hAnsi="Times New Roman" w:cs="Times New Roman"/>
          <w:sz w:val="24"/>
          <w:szCs w:val="24"/>
        </w:rPr>
        <w:t xml:space="preserve"> la comunicación humana</w:t>
      </w:r>
      <w:r w:rsidR="00170874">
        <w:rPr>
          <w:rFonts w:ascii="Times New Roman" w:hAnsi="Times New Roman" w:cs="Times New Roman"/>
          <w:sz w:val="24"/>
          <w:szCs w:val="24"/>
        </w:rPr>
        <w:t xml:space="preserve">, por lo que </w:t>
      </w:r>
      <w:r>
        <w:rPr>
          <w:rFonts w:ascii="Times New Roman" w:hAnsi="Times New Roman" w:cs="Times New Roman"/>
          <w:sz w:val="24"/>
          <w:szCs w:val="24"/>
        </w:rPr>
        <w:t xml:space="preserve">en ocasiones </w:t>
      </w:r>
      <w:r w:rsidR="006505D5">
        <w:rPr>
          <w:rFonts w:ascii="Times New Roman" w:hAnsi="Times New Roman" w:cs="Times New Roman"/>
          <w:sz w:val="24"/>
          <w:szCs w:val="24"/>
        </w:rPr>
        <w:t>conv</w:t>
      </w:r>
      <w:r w:rsidR="00170874">
        <w:rPr>
          <w:rFonts w:ascii="Times New Roman" w:hAnsi="Times New Roman" w:cs="Times New Roman"/>
          <w:sz w:val="24"/>
          <w:szCs w:val="24"/>
        </w:rPr>
        <w:t>iene</w:t>
      </w:r>
      <w:r>
        <w:rPr>
          <w:rFonts w:ascii="Times New Roman" w:hAnsi="Times New Roman" w:cs="Times New Roman"/>
          <w:sz w:val="24"/>
          <w:szCs w:val="24"/>
        </w:rPr>
        <w:t xml:space="preserve"> </w:t>
      </w:r>
      <w:r w:rsidR="00170874">
        <w:rPr>
          <w:rFonts w:ascii="Times New Roman" w:hAnsi="Times New Roman" w:cs="Times New Roman"/>
          <w:sz w:val="24"/>
          <w:szCs w:val="24"/>
        </w:rPr>
        <w:t>utilizar</w:t>
      </w:r>
      <w:r>
        <w:rPr>
          <w:rFonts w:ascii="Times New Roman" w:hAnsi="Times New Roman" w:cs="Times New Roman"/>
          <w:sz w:val="24"/>
          <w:szCs w:val="24"/>
        </w:rPr>
        <w:t xml:space="preserve"> simbolismos </w:t>
      </w:r>
      <w:r w:rsidR="00170874">
        <w:rPr>
          <w:rFonts w:ascii="Times New Roman" w:hAnsi="Times New Roman" w:cs="Times New Roman"/>
          <w:sz w:val="24"/>
          <w:szCs w:val="24"/>
        </w:rPr>
        <w:t>que describan</w:t>
      </w:r>
      <w:r>
        <w:rPr>
          <w:rFonts w:ascii="Times New Roman" w:hAnsi="Times New Roman" w:cs="Times New Roman"/>
          <w:sz w:val="24"/>
          <w:szCs w:val="24"/>
        </w:rPr>
        <w:t xml:space="preserve"> el mundo y sus relaciones. En ingeniería eléctrica y electrónica existen componentes como los resistores</w:t>
      </w:r>
      <w:r w:rsidR="00170874">
        <w:rPr>
          <w:rFonts w:ascii="Times New Roman" w:hAnsi="Times New Roman" w:cs="Times New Roman"/>
          <w:sz w:val="24"/>
          <w:szCs w:val="24"/>
        </w:rPr>
        <w:t xml:space="preserve">, muy utilizados y </w:t>
      </w:r>
      <w:r w:rsidR="00EC609F">
        <w:rPr>
          <w:rFonts w:ascii="Times New Roman" w:hAnsi="Times New Roman" w:cs="Times New Roman"/>
          <w:sz w:val="24"/>
          <w:szCs w:val="24"/>
        </w:rPr>
        <w:t>con</w:t>
      </w:r>
      <w:r>
        <w:rPr>
          <w:rFonts w:ascii="Times New Roman" w:hAnsi="Times New Roman" w:cs="Times New Roman"/>
          <w:sz w:val="24"/>
          <w:szCs w:val="24"/>
        </w:rPr>
        <w:t xml:space="preserve"> diversos valores comerciales</w:t>
      </w:r>
      <w:r w:rsidR="00170874">
        <w:rPr>
          <w:rFonts w:ascii="Times New Roman" w:hAnsi="Times New Roman" w:cs="Times New Roman"/>
          <w:sz w:val="24"/>
          <w:szCs w:val="24"/>
        </w:rPr>
        <w:t xml:space="preserve"> </w:t>
      </w:r>
      <w:r w:rsidR="007D66A6">
        <w:rPr>
          <w:rFonts w:ascii="Times New Roman" w:hAnsi="Times New Roman" w:cs="Times New Roman"/>
          <w:sz w:val="24"/>
          <w:szCs w:val="24"/>
        </w:rPr>
        <w:t xml:space="preserve">de acuerdo a </w:t>
      </w:r>
      <w:r>
        <w:rPr>
          <w:rFonts w:ascii="Times New Roman" w:hAnsi="Times New Roman" w:cs="Times New Roman"/>
          <w:sz w:val="24"/>
          <w:szCs w:val="24"/>
        </w:rPr>
        <w:t xml:space="preserve">un </w:t>
      </w:r>
      <w:r w:rsidR="00170874">
        <w:rPr>
          <w:rFonts w:ascii="Times New Roman" w:hAnsi="Times New Roman" w:cs="Times New Roman"/>
          <w:sz w:val="24"/>
          <w:szCs w:val="24"/>
        </w:rPr>
        <w:t xml:space="preserve">código de </w:t>
      </w:r>
      <w:r>
        <w:rPr>
          <w:rFonts w:ascii="Times New Roman" w:hAnsi="Times New Roman" w:cs="Times New Roman"/>
          <w:sz w:val="24"/>
          <w:szCs w:val="24"/>
        </w:rPr>
        <w:t xml:space="preserve">colores. </w:t>
      </w:r>
      <w:r w:rsidR="00170874">
        <w:rPr>
          <w:rFonts w:ascii="Times New Roman" w:hAnsi="Times New Roman" w:cs="Times New Roman"/>
          <w:sz w:val="24"/>
          <w:szCs w:val="24"/>
        </w:rPr>
        <w:t>Para obtener un mejor desempeño se recomienda</w:t>
      </w:r>
      <w:r>
        <w:rPr>
          <w:rFonts w:ascii="Times New Roman" w:hAnsi="Times New Roman" w:cs="Times New Roman"/>
          <w:sz w:val="24"/>
          <w:szCs w:val="24"/>
        </w:rPr>
        <w:t xml:space="preserve"> que los profesionistas y alumnos </w:t>
      </w:r>
      <w:r w:rsidR="00170874">
        <w:rPr>
          <w:rFonts w:ascii="Times New Roman" w:hAnsi="Times New Roman" w:cs="Times New Roman"/>
          <w:sz w:val="24"/>
          <w:szCs w:val="24"/>
        </w:rPr>
        <w:t>de</w:t>
      </w:r>
      <w:r>
        <w:rPr>
          <w:rFonts w:ascii="Times New Roman" w:hAnsi="Times New Roman" w:cs="Times New Roman"/>
          <w:sz w:val="24"/>
          <w:szCs w:val="24"/>
        </w:rPr>
        <w:t xml:space="preserve"> las áreas de electricidad y electrónica aprendan </w:t>
      </w:r>
      <w:r w:rsidR="007D66A6">
        <w:rPr>
          <w:rFonts w:ascii="Times New Roman" w:hAnsi="Times New Roman" w:cs="Times New Roman"/>
          <w:sz w:val="24"/>
          <w:szCs w:val="24"/>
        </w:rPr>
        <w:t>dicho</w:t>
      </w:r>
      <w:r>
        <w:rPr>
          <w:rFonts w:ascii="Times New Roman" w:hAnsi="Times New Roman" w:cs="Times New Roman"/>
          <w:sz w:val="24"/>
          <w:szCs w:val="24"/>
        </w:rPr>
        <w:t xml:space="preserve"> código</w:t>
      </w:r>
      <w:r w:rsidR="00BF5D39">
        <w:rPr>
          <w:rFonts w:ascii="Times New Roman" w:hAnsi="Times New Roman" w:cs="Times New Roman"/>
          <w:sz w:val="24"/>
          <w:szCs w:val="24"/>
        </w:rPr>
        <w:t xml:space="preserve">, </w:t>
      </w:r>
      <w:r w:rsidR="00170874">
        <w:rPr>
          <w:rFonts w:ascii="Times New Roman" w:hAnsi="Times New Roman" w:cs="Times New Roman"/>
          <w:sz w:val="24"/>
          <w:szCs w:val="24"/>
        </w:rPr>
        <w:t xml:space="preserve">el </w:t>
      </w:r>
      <w:r w:rsidR="00EC609F">
        <w:rPr>
          <w:rFonts w:ascii="Times New Roman" w:hAnsi="Times New Roman" w:cs="Times New Roman"/>
          <w:sz w:val="24"/>
          <w:szCs w:val="24"/>
        </w:rPr>
        <w:t>cual</w:t>
      </w:r>
      <w:r w:rsidR="00170874">
        <w:rPr>
          <w:rFonts w:ascii="Times New Roman" w:hAnsi="Times New Roman" w:cs="Times New Roman"/>
          <w:sz w:val="24"/>
          <w:szCs w:val="24"/>
        </w:rPr>
        <w:t xml:space="preserve"> </w:t>
      </w:r>
      <w:r w:rsidR="001E6846">
        <w:rPr>
          <w:rFonts w:ascii="Times New Roman" w:hAnsi="Times New Roman" w:cs="Times New Roman"/>
          <w:sz w:val="24"/>
          <w:szCs w:val="24"/>
        </w:rPr>
        <w:t>desafortunadamente</w:t>
      </w:r>
      <w:r w:rsidR="00BF5D39">
        <w:rPr>
          <w:rFonts w:ascii="Times New Roman" w:hAnsi="Times New Roman" w:cs="Times New Roman"/>
          <w:sz w:val="24"/>
          <w:szCs w:val="24"/>
        </w:rPr>
        <w:t xml:space="preserve"> olvida</w:t>
      </w:r>
      <w:r w:rsidR="00170874">
        <w:rPr>
          <w:rFonts w:ascii="Times New Roman" w:hAnsi="Times New Roman" w:cs="Times New Roman"/>
          <w:sz w:val="24"/>
          <w:szCs w:val="24"/>
        </w:rPr>
        <w:t>n</w:t>
      </w:r>
      <w:r w:rsidR="00BF5D39">
        <w:rPr>
          <w:rFonts w:ascii="Times New Roman" w:hAnsi="Times New Roman" w:cs="Times New Roman"/>
          <w:sz w:val="24"/>
          <w:szCs w:val="24"/>
        </w:rPr>
        <w:t xml:space="preserve"> </w:t>
      </w:r>
      <w:r w:rsidR="00170874">
        <w:rPr>
          <w:rFonts w:ascii="Times New Roman" w:hAnsi="Times New Roman" w:cs="Times New Roman"/>
          <w:sz w:val="24"/>
          <w:szCs w:val="24"/>
        </w:rPr>
        <w:t>poco tiempo después</w:t>
      </w:r>
      <w:r w:rsidR="00BF5D39">
        <w:rPr>
          <w:rFonts w:ascii="Times New Roman" w:hAnsi="Times New Roman" w:cs="Times New Roman"/>
          <w:sz w:val="24"/>
          <w:szCs w:val="24"/>
        </w:rPr>
        <w:t xml:space="preserve">. </w:t>
      </w:r>
      <w:r w:rsidR="00E83255">
        <w:rPr>
          <w:rFonts w:ascii="Times New Roman" w:hAnsi="Times New Roman" w:cs="Times New Roman"/>
          <w:sz w:val="24"/>
          <w:szCs w:val="24"/>
        </w:rPr>
        <w:t>La presente</w:t>
      </w:r>
      <w:r w:rsidR="00BF5D39">
        <w:rPr>
          <w:rFonts w:ascii="Times New Roman" w:hAnsi="Times New Roman" w:cs="Times New Roman"/>
          <w:sz w:val="24"/>
          <w:szCs w:val="24"/>
        </w:rPr>
        <w:t xml:space="preserve"> investigación propone un método pedagógico basado en la mnemotecnia para que el aprendizaje del código de colores se</w:t>
      </w:r>
      <w:r w:rsidR="001E6846">
        <w:rPr>
          <w:rFonts w:ascii="Times New Roman" w:hAnsi="Times New Roman" w:cs="Times New Roman"/>
          <w:sz w:val="24"/>
          <w:szCs w:val="24"/>
        </w:rPr>
        <w:t>a</w:t>
      </w:r>
      <w:r w:rsidR="00BF5D39">
        <w:rPr>
          <w:rFonts w:ascii="Times New Roman" w:hAnsi="Times New Roman" w:cs="Times New Roman"/>
          <w:sz w:val="24"/>
          <w:szCs w:val="24"/>
        </w:rPr>
        <w:t xml:space="preserve"> rápido y </w:t>
      </w:r>
      <w:r w:rsidR="00EC609F">
        <w:rPr>
          <w:rFonts w:ascii="Times New Roman" w:hAnsi="Times New Roman" w:cs="Times New Roman"/>
          <w:sz w:val="24"/>
          <w:szCs w:val="24"/>
        </w:rPr>
        <w:t>duradero</w:t>
      </w:r>
      <w:r w:rsidR="00BF5D39">
        <w:rPr>
          <w:rFonts w:ascii="Times New Roman" w:hAnsi="Times New Roman" w:cs="Times New Roman"/>
          <w:sz w:val="24"/>
          <w:szCs w:val="24"/>
        </w:rPr>
        <w:t xml:space="preserve">. También se presentan los resultados que relacionan el desempeño académico de los alumnos de los grupos de experimentación y de control para valorar el modelo. </w:t>
      </w:r>
    </w:p>
    <w:p w:rsidR="001A7DA5" w:rsidRPr="009D73A0" w:rsidRDefault="004A3B74" w:rsidP="000428BE">
      <w:pPr>
        <w:spacing w:before="120" w:after="240" w:line="360" w:lineRule="auto"/>
        <w:jc w:val="both"/>
        <w:rPr>
          <w:rFonts w:ascii="Arial" w:hAnsi="Arial" w:cs="Arial"/>
          <w:sz w:val="24"/>
          <w:szCs w:val="24"/>
        </w:rPr>
      </w:pPr>
      <w:r w:rsidRPr="003F41C1">
        <w:rPr>
          <w:rFonts w:ascii="Calibri" w:eastAsia="Times New Roman" w:hAnsi="Calibri" w:cs="Calibri"/>
          <w:color w:val="7030A0"/>
          <w:sz w:val="28"/>
          <w:szCs w:val="28"/>
          <w:lang w:val="es-ES" w:eastAsia="es-ES"/>
        </w:rPr>
        <w:t>Palabras clave:</w:t>
      </w:r>
      <w:r w:rsidRPr="009D73A0">
        <w:rPr>
          <w:rFonts w:ascii="Arial" w:hAnsi="Arial" w:cs="Arial"/>
          <w:iCs/>
          <w:sz w:val="24"/>
          <w:szCs w:val="24"/>
        </w:rPr>
        <w:t xml:space="preserve"> </w:t>
      </w:r>
      <w:r w:rsidR="00BF5D39">
        <w:rPr>
          <w:rFonts w:ascii="Times New Roman" w:hAnsi="Times New Roman" w:cs="Times New Roman"/>
          <w:sz w:val="24"/>
          <w:szCs w:val="24"/>
        </w:rPr>
        <w:t>aprendizaje, código de colores, mnemotecnia, resistores</w:t>
      </w:r>
      <w:r w:rsidRPr="003F41C1">
        <w:rPr>
          <w:rFonts w:ascii="Times New Roman" w:hAnsi="Times New Roman" w:cs="Times New Roman"/>
          <w:sz w:val="24"/>
          <w:szCs w:val="24"/>
        </w:rPr>
        <w:t>.</w:t>
      </w:r>
      <w:r w:rsidRPr="009D73A0">
        <w:rPr>
          <w:rFonts w:ascii="Arial" w:hAnsi="Arial" w:cs="Arial"/>
          <w:iCs/>
          <w:sz w:val="24"/>
          <w:szCs w:val="24"/>
        </w:rPr>
        <w:t xml:space="preserve"> </w:t>
      </w:r>
    </w:p>
    <w:p w:rsidR="004A3B74" w:rsidRPr="0010548D" w:rsidRDefault="003F41C1" w:rsidP="00BD2F77">
      <w:pPr>
        <w:spacing w:before="120" w:after="240" w:line="360" w:lineRule="auto"/>
        <w:rPr>
          <w:rFonts w:ascii="Calibri" w:eastAsia="Times New Roman" w:hAnsi="Calibri" w:cs="Calibri"/>
          <w:color w:val="7030A0"/>
          <w:sz w:val="28"/>
          <w:szCs w:val="28"/>
          <w:lang w:val="en-US" w:eastAsia="es-ES"/>
        </w:rPr>
      </w:pPr>
      <w:r w:rsidRPr="0010548D">
        <w:rPr>
          <w:rFonts w:ascii="Calibri" w:eastAsia="Times New Roman" w:hAnsi="Calibri" w:cs="Calibri"/>
          <w:color w:val="7030A0"/>
          <w:sz w:val="28"/>
          <w:szCs w:val="28"/>
          <w:lang w:val="en-US" w:eastAsia="es-ES"/>
        </w:rPr>
        <w:t>Abstract</w:t>
      </w:r>
    </w:p>
    <w:p w:rsidR="00606D0F" w:rsidRPr="0010548D" w:rsidRDefault="006505D5" w:rsidP="000428BE">
      <w:pPr>
        <w:spacing w:before="120" w:after="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Language is a necessity for human communication and sometimes the use of symbols to describe the world and its relations is convenient</w:t>
      </w:r>
      <w:r w:rsidR="002F3BE3">
        <w:rPr>
          <w:rFonts w:ascii="Times New Roman" w:hAnsi="Times New Roman" w:cs="Times New Roman"/>
          <w:sz w:val="24"/>
          <w:szCs w:val="24"/>
          <w:lang w:val="en-US"/>
        </w:rPr>
        <w:t>.</w:t>
      </w:r>
      <w:r>
        <w:rPr>
          <w:rFonts w:ascii="Times New Roman" w:hAnsi="Times New Roman" w:cs="Times New Roman"/>
          <w:sz w:val="24"/>
          <w:szCs w:val="24"/>
          <w:lang w:val="en-US"/>
        </w:rPr>
        <w:t xml:space="preserve"> In electric and electronic engineering, there exist components that are very used, for example the resistors, which can be found in different commercial values </w:t>
      </w:r>
      <w:r w:rsidR="001F2D54">
        <w:rPr>
          <w:rFonts w:ascii="Times New Roman" w:hAnsi="Times New Roman" w:cs="Times New Roman"/>
          <w:sz w:val="24"/>
          <w:szCs w:val="24"/>
          <w:lang w:val="en-US"/>
        </w:rPr>
        <w:t>that are read according to a color code. It is convenient that students and profes</w:t>
      </w:r>
      <w:r w:rsidR="001E6846">
        <w:rPr>
          <w:rFonts w:ascii="Times New Roman" w:hAnsi="Times New Roman" w:cs="Times New Roman"/>
          <w:sz w:val="24"/>
          <w:szCs w:val="24"/>
          <w:lang w:val="en-US"/>
        </w:rPr>
        <w:t>sionals whose work is related with</w:t>
      </w:r>
      <w:r w:rsidR="001F2D54">
        <w:rPr>
          <w:rFonts w:ascii="Times New Roman" w:hAnsi="Times New Roman" w:cs="Times New Roman"/>
          <w:sz w:val="24"/>
          <w:szCs w:val="24"/>
          <w:lang w:val="en-US"/>
        </w:rPr>
        <w:t xml:space="preserve"> the field of electricity and electronics</w:t>
      </w:r>
      <w:r w:rsidR="001E6846">
        <w:rPr>
          <w:rFonts w:ascii="Times New Roman" w:hAnsi="Times New Roman" w:cs="Times New Roman"/>
          <w:sz w:val="24"/>
          <w:szCs w:val="24"/>
          <w:lang w:val="en-US"/>
        </w:rPr>
        <w:t>,</w:t>
      </w:r>
      <w:r w:rsidR="001F2D54">
        <w:rPr>
          <w:rFonts w:ascii="Times New Roman" w:hAnsi="Times New Roman" w:cs="Times New Roman"/>
          <w:sz w:val="24"/>
          <w:szCs w:val="24"/>
          <w:lang w:val="en-US"/>
        </w:rPr>
        <w:t xml:space="preserve"> learn the color code in order to have a better performance, </w:t>
      </w:r>
      <w:r w:rsidR="001E6846">
        <w:rPr>
          <w:rFonts w:ascii="Times New Roman" w:hAnsi="Times New Roman" w:cs="Times New Roman"/>
          <w:sz w:val="24"/>
          <w:szCs w:val="24"/>
          <w:lang w:val="en-US"/>
        </w:rPr>
        <w:t>unfortunately</w:t>
      </w:r>
      <w:r w:rsidR="001F2D54">
        <w:rPr>
          <w:rFonts w:ascii="Times New Roman" w:hAnsi="Times New Roman" w:cs="Times New Roman"/>
          <w:sz w:val="24"/>
          <w:szCs w:val="24"/>
          <w:lang w:val="en-US"/>
        </w:rPr>
        <w:t xml:space="preserve"> this knowledge is </w:t>
      </w:r>
      <w:r w:rsidR="001F2D54">
        <w:rPr>
          <w:rFonts w:ascii="Times New Roman" w:hAnsi="Times New Roman" w:cs="Times New Roman"/>
          <w:sz w:val="24"/>
          <w:szCs w:val="24"/>
          <w:lang w:val="en-US"/>
        </w:rPr>
        <w:lastRenderedPageBreak/>
        <w:t>frequently forgotten in the short time. This research propose</w:t>
      </w:r>
      <w:r w:rsidR="001E6846">
        <w:rPr>
          <w:rFonts w:ascii="Times New Roman" w:hAnsi="Times New Roman" w:cs="Times New Roman"/>
          <w:sz w:val="24"/>
          <w:szCs w:val="24"/>
          <w:lang w:val="en-US"/>
        </w:rPr>
        <w:t>s</w:t>
      </w:r>
      <w:r w:rsidR="001F2D54">
        <w:rPr>
          <w:rFonts w:ascii="Times New Roman" w:hAnsi="Times New Roman" w:cs="Times New Roman"/>
          <w:sz w:val="24"/>
          <w:szCs w:val="24"/>
          <w:lang w:val="en-US"/>
        </w:rPr>
        <w:t xml:space="preserve"> a pedagogic method based on mnemonics </w:t>
      </w:r>
      <w:r w:rsidR="002C47DF">
        <w:rPr>
          <w:rFonts w:ascii="Times New Roman" w:hAnsi="Times New Roman" w:cs="Times New Roman"/>
          <w:sz w:val="24"/>
          <w:szCs w:val="24"/>
          <w:lang w:val="en-US"/>
        </w:rPr>
        <w:t xml:space="preserve">for the fast and long-lasting learning of color code. The results that relate academic performance of students of the groups of experimentation and control </w:t>
      </w:r>
      <w:r w:rsidR="000C597E">
        <w:rPr>
          <w:rFonts w:ascii="Times New Roman" w:hAnsi="Times New Roman" w:cs="Times New Roman"/>
          <w:sz w:val="24"/>
          <w:szCs w:val="24"/>
          <w:lang w:val="en-US"/>
        </w:rPr>
        <w:t xml:space="preserve">to validate the </w:t>
      </w:r>
      <w:proofErr w:type="gramStart"/>
      <w:r w:rsidR="000C597E">
        <w:rPr>
          <w:rFonts w:ascii="Times New Roman" w:hAnsi="Times New Roman" w:cs="Times New Roman"/>
          <w:sz w:val="24"/>
          <w:szCs w:val="24"/>
          <w:lang w:val="en-US"/>
        </w:rPr>
        <w:t>model</w:t>
      </w:r>
      <w:r w:rsidR="001E6846">
        <w:rPr>
          <w:rFonts w:ascii="Times New Roman" w:hAnsi="Times New Roman" w:cs="Times New Roman"/>
          <w:sz w:val="24"/>
          <w:szCs w:val="24"/>
          <w:lang w:val="en-US"/>
        </w:rPr>
        <w:t>,</w:t>
      </w:r>
      <w:proofErr w:type="gramEnd"/>
      <w:r w:rsidR="000C597E">
        <w:rPr>
          <w:rFonts w:ascii="Times New Roman" w:hAnsi="Times New Roman" w:cs="Times New Roman"/>
          <w:sz w:val="24"/>
          <w:szCs w:val="24"/>
          <w:lang w:val="en-US"/>
        </w:rPr>
        <w:t xml:space="preserve"> are also </w:t>
      </w:r>
      <w:r w:rsidR="002C47DF">
        <w:rPr>
          <w:rFonts w:ascii="Times New Roman" w:hAnsi="Times New Roman" w:cs="Times New Roman"/>
          <w:sz w:val="24"/>
          <w:szCs w:val="24"/>
          <w:lang w:val="en-US"/>
        </w:rPr>
        <w:t>presented.</w:t>
      </w:r>
    </w:p>
    <w:p w:rsidR="000428BE" w:rsidRPr="000E584C" w:rsidRDefault="004A3B74" w:rsidP="002F2E9A">
      <w:pPr>
        <w:spacing w:before="120" w:after="240" w:line="360" w:lineRule="auto"/>
        <w:jc w:val="both"/>
        <w:rPr>
          <w:rFonts w:ascii="Arial" w:hAnsi="Arial" w:cs="Arial"/>
          <w:iCs/>
          <w:sz w:val="24"/>
          <w:szCs w:val="24"/>
          <w:lang w:val="en-US"/>
        </w:rPr>
      </w:pPr>
      <w:r w:rsidRPr="000E584C">
        <w:rPr>
          <w:rFonts w:ascii="Calibri" w:eastAsia="Times New Roman" w:hAnsi="Calibri" w:cs="Calibri"/>
          <w:color w:val="7030A0"/>
          <w:sz w:val="28"/>
          <w:szCs w:val="28"/>
          <w:lang w:val="en-US" w:eastAsia="es-ES"/>
        </w:rPr>
        <w:t>Key words:</w:t>
      </w:r>
      <w:r w:rsidRPr="000E584C">
        <w:rPr>
          <w:rFonts w:ascii="Arial" w:hAnsi="Arial" w:cs="Arial"/>
          <w:iCs/>
          <w:sz w:val="24"/>
          <w:szCs w:val="24"/>
          <w:lang w:val="en-US"/>
        </w:rPr>
        <w:t xml:space="preserve"> </w:t>
      </w:r>
      <w:r w:rsidR="000A3236" w:rsidRPr="000E584C">
        <w:rPr>
          <w:rFonts w:ascii="Times New Roman" w:hAnsi="Times New Roman" w:cs="Times New Roman"/>
          <w:sz w:val="24"/>
          <w:szCs w:val="24"/>
          <w:lang w:val="en-US"/>
        </w:rPr>
        <w:t xml:space="preserve"> </w:t>
      </w:r>
      <w:r w:rsidR="002F3BE3">
        <w:rPr>
          <w:rFonts w:ascii="Times New Roman" w:hAnsi="Times New Roman" w:cs="Times New Roman"/>
          <w:sz w:val="24"/>
          <w:szCs w:val="24"/>
          <w:lang w:val="en-US"/>
        </w:rPr>
        <w:t>learning</w:t>
      </w:r>
      <w:r w:rsidR="000E584C">
        <w:rPr>
          <w:rFonts w:ascii="Times New Roman" w:hAnsi="Times New Roman" w:cs="Times New Roman"/>
          <w:sz w:val="24"/>
          <w:szCs w:val="24"/>
          <w:lang w:val="en-US"/>
        </w:rPr>
        <w:t xml:space="preserve">, </w:t>
      </w:r>
      <w:r w:rsidR="000C597E">
        <w:rPr>
          <w:rFonts w:ascii="Times New Roman" w:hAnsi="Times New Roman" w:cs="Times New Roman"/>
          <w:sz w:val="24"/>
          <w:szCs w:val="24"/>
          <w:lang w:val="en-US"/>
        </w:rPr>
        <w:t>color code</w:t>
      </w:r>
      <w:r w:rsidR="000E584C">
        <w:rPr>
          <w:rFonts w:ascii="Times New Roman" w:hAnsi="Times New Roman" w:cs="Times New Roman"/>
          <w:sz w:val="24"/>
          <w:szCs w:val="24"/>
          <w:lang w:val="en-US"/>
        </w:rPr>
        <w:t xml:space="preserve">, </w:t>
      </w:r>
      <w:r w:rsidR="000C597E">
        <w:rPr>
          <w:rFonts w:ascii="Times New Roman" w:hAnsi="Times New Roman" w:cs="Times New Roman"/>
          <w:sz w:val="24"/>
          <w:szCs w:val="24"/>
          <w:lang w:val="en-US"/>
        </w:rPr>
        <w:t>mnemonics, resistors</w:t>
      </w:r>
      <w:r w:rsidR="00E83255">
        <w:rPr>
          <w:rFonts w:ascii="Times New Roman" w:hAnsi="Times New Roman" w:cs="Times New Roman"/>
          <w:sz w:val="24"/>
          <w:szCs w:val="24"/>
          <w:lang w:val="en-US"/>
        </w:rPr>
        <w:t>.</w:t>
      </w:r>
    </w:p>
    <w:p w:rsidR="003F41C1" w:rsidRPr="0010548D" w:rsidRDefault="003F41C1" w:rsidP="002F2E9A">
      <w:pPr>
        <w:spacing w:before="120" w:after="240" w:line="360" w:lineRule="auto"/>
        <w:jc w:val="both"/>
        <w:rPr>
          <w:rFonts w:ascii="Arial" w:hAnsi="Arial" w:cs="Arial"/>
          <w:sz w:val="24"/>
          <w:szCs w:val="24"/>
        </w:rPr>
      </w:pPr>
      <w:r w:rsidRPr="003C09BB">
        <w:rPr>
          <w:rFonts w:ascii="Times New Roman" w:hAnsi="Times New Roman" w:cs="Times New Roman"/>
          <w:b/>
          <w:color w:val="000000" w:themeColor="text1"/>
        </w:rPr>
        <w:t>Fecha Recepción:</w:t>
      </w:r>
      <w:r w:rsidRPr="003C09BB">
        <w:rPr>
          <w:rFonts w:ascii="Times New Roman" w:hAnsi="Times New Roman" w:cs="Times New Roman"/>
          <w:color w:val="000000" w:themeColor="text1"/>
        </w:rPr>
        <w:t xml:space="preserve"> </w:t>
      </w:r>
      <w:r w:rsidR="00AE337F">
        <w:rPr>
          <w:rFonts w:ascii="Times New Roman" w:hAnsi="Times New Roman" w:cs="Times New Roman"/>
          <w:color w:val="000000" w:themeColor="text1"/>
        </w:rPr>
        <w:t xml:space="preserve">Junio </w:t>
      </w:r>
      <w:r w:rsidR="000E584C">
        <w:rPr>
          <w:rFonts w:ascii="Times New Roman" w:hAnsi="Times New Roman" w:cs="Times New Roman"/>
          <w:color w:val="000000" w:themeColor="text1"/>
        </w:rPr>
        <w:t>2016</w:t>
      </w:r>
      <w:r w:rsidRPr="003C09BB">
        <w:rPr>
          <w:rFonts w:ascii="Times New Roman" w:hAnsi="Times New Roman" w:cs="Times New Roman"/>
          <w:color w:val="000000" w:themeColor="text1"/>
        </w:rPr>
        <w:t xml:space="preserve">     </w:t>
      </w:r>
      <w:r w:rsidRPr="003C09BB">
        <w:rPr>
          <w:rFonts w:ascii="Times New Roman" w:hAnsi="Times New Roman" w:cs="Times New Roman"/>
          <w:b/>
          <w:color w:val="000000" w:themeColor="text1"/>
        </w:rPr>
        <w:t>Fecha Aceptación:</w:t>
      </w:r>
      <w:r w:rsidRPr="003C09BB">
        <w:rPr>
          <w:rFonts w:ascii="Times New Roman" w:hAnsi="Times New Roman" w:cs="Times New Roman"/>
          <w:color w:val="000000" w:themeColor="text1"/>
        </w:rPr>
        <w:t xml:space="preserve"> </w:t>
      </w:r>
      <w:r w:rsidR="00AE337F">
        <w:rPr>
          <w:rFonts w:ascii="Times New Roman" w:hAnsi="Times New Roman" w:cs="Times New Roman"/>
          <w:color w:val="000000" w:themeColor="text1"/>
        </w:rPr>
        <w:t xml:space="preserve">Diciembre </w:t>
      </w:r>
      <w:r w:rsidRPr="003C09BB">
        <w:rPr>
          <w:rFonts w:ascii="Times New Roman" w:hAnsi="Times New Roman" w:cs="Times New Roman"/>
          <w:color w:val="000000" w:themeColor="text1"/>
        </w:rPr>
        <w:t>2016</w:t>
      </w:r>
      <w:r>
        <w:rPr>
          <w:color w:val="000000" w:themeColor="text1"/>
        </w:rPr>
        <w:br/>
      </w:r>
      <w:r w:rsidR="009010E6">
        <w:rPr>
          <w:rFonts w:cs="Calibri"/>
        </w:rPr>
        <w:pict>
          <v:rect id="_x0000_i1025" style="width:0;height:1.5pt" o:hralign="center" o:hrstd="t" o:hr="t" fillcolor="#a0a0a0" stroked="f"/>
        </w:pict>
      </w:r>
    </w:p>
    <w:p w:rsidR="003F41C1" w:rsidRDefault="003F41C1" w:rsidP="002F2E9A">
      <w:pPr>
        <w:spacing w:before="120" w:after="240" w:line="360" w:lineRule="auto"/>
        <w:jc w:val="both"/>
        <w:rPr>
          <w:rFonts w:ascii="Arial" w:hAnsi="Arial" w:cs="Arial"/>
          <w:iCs/>
          <w:sz w:val="24"/>
          <w:szCs w:val="24"/>
        </w:rPr>
      </w:pPr>
      <w:r>
        <w:rPr>
          <w:rFonts w:ascii="Calibri" w:eastAsia="Times New Roman" w:hAnsi="Calibri" w:cs="Calibri"/>
          <w:color w:val="7030A0"/>
          <w:sz w:val="28"/>
          <w:szCs w:val="28"/>
          <w:lang w:val="es-ES" w:eastAsia="es-ES"/>
        </w:rPr>
        <w:t>I</w:t>
      </w:r>
      <w:r w:rsidRPr="00017E90">
        <w:rPr>
          <w:rFonts w:ascii="Calibri" w:eastAsia="Times New Roman" w:hAnsi="Calibri" w:cs="Calibri"/>
          <w:color w:val="7030A0"/>
          <w:sz w:val="28"/>
          <w:szCs w:val="28"/>
          <w:lang w:val="es-ES" w:eastAsia="es-ES"/>
        </w:rPr>
        <w:t>ntroducción</w:t>
      </w:r>
    </w:p>
    <w:p w:rsidR="00FF5094" w:rsidRPr="00CD42C9" w:rsidRDefault="00FF5094" w:rsidP="00FF5094">
      <w:pPr>
        <w:spacing w:after="240" w:line="360" w:lineRule="auto"/>
        <w:jc w:val="both"/>
        <w:rPr>
          <w:rFonts w:ascii="Times New Roman" w:hAnsi="Times New Roman" w:cs="Times New Roman"/>
          <w:sz w:val="24"/>
          <w:szCs w:val="24"/>
        </w:rPr>
      </w:pPr>
      <w:r w:rsidRPr="00CD42C9">
        <w:rPr>
          <w:rFonts w:ascii="Times New Roman" w:hAnsi="Times New Roman" w:cs="Times New Roman"/>
          <w:sz w:val="24"/>
          <w:szCs w:val="24"/>
        </w:rPr>
        <w:t xml:space="preserve">El proceso educativo </w:t>
      </w:r>
      <w:r w:rsidR="004059A3">
        <w:rPr>
          <w:rFonts w:ascii="Times New Roman" w:hAnsi="Times New Roman" w:cs="Times New Roman"/>
          <w:sz w:val="24"/>
          <w:szCs w:val="24"/>
        </w:rPr>
        <w:t xml:space="preserve">se </w:t>
      </w:r>
      <w:r w:rsidRPr="00CD42C9">
        <w:rPr>
          <w:rFonts w:ascii="Times New Roman" w:hAnsi="Times New Roman" w:cs="Times New Roman"/>
          <w:sz w:val="24"/>
          <w:szCs w:val="24"/>
        </w:rPr>
        <w:t>ha</w:t>
      </w:r>
      <w:r w:rsidR="00C92CB5">
        <w:rPr>
          <w:rFonts w:ascii="Times New Roman" w:hAnsi="Times New Roman" w:cs="Times New Roman"/>
          <w:sz w:val="24"/>
          <w:szCs w:val="24"/>
        </w:rPr>
        <w:t xml:space="preserve"> ido</w:t>
      </w:r>
      <w:r w:rsidR="00E1046C">
        <w:rPr>
          <w:rFonts w:ascii="Times New Roman" w:hAnsi="Times New Roman" w:cs="Times New Roman"/>
          <w:sz w:val="24"/>
          <w:szCs w:val="24"/>
        </w:rPr>
        <w:t xml:space="preserve"> </w:t>
      </w:r>
      <w:r w:rsidR="004059A3">
        <w:rPr>
          <w:rFonts w:ascii="Times New Roman" w:hAnsi="Times New Roman" w:cs="Times New Roman"/>
          <w:sz w:val="24"/>
          <w:szCs w:val="24"/>
        </w:rPr>
        <w:t>transforma</w:t>
      </w:r>
      <w:r w:rsidR="00E1046C">
        <w:rPr>
          <w:rFonts w:ascii="Times New Roman" w:hAnsi="Times New Roman" w:cs="Times New Roman"/>
          <w:sz w:val="24"/>
          <w:szCs w:val="24"/>
        </w:rPr>
        <w:t>n</w:t>
      </w:r>
      <w:r w:rsidR="004059A3">
        <w:rPr>
          <w:rFonts w:ascii="Times New Roman" w:hAnsi="Times New Roman" w:cs="Times New Roman"/>
          <w:sz w:val="24"/>
          <w:szCs w:val="24"/>
        </w:rPr>
        <w:t>do</w:t>
      </w:r>
      <w:r w:rsidRPr="00CD42C9">
        <w:rPr>
          <w:rFonts w:ascii="Times New Roman" w:hAnsi="Times New Roman" w:cs="Times New Roman"/>
          <w:sz w:val="24"/>
          <w:szCs w:val="24"/>
        </w:rPr>
        <w:t xml:space="preserve"> </w:t>
      </w:r>
      <w:r w:rsidR="00C92CB5">
        <w:rPr>
          <w:rFonts w:ascii="Times New Roman" w:hAnsi="Times New Roman" w:cs="Times New Roman"/>
          <w:sz w:val="24"/>
          <w:szCs w:val="24"/>
        </w:rPr>
        <w:t>a lo largo</w:t>
      </w:r>
      <w:r w:rsidR="00E1046C">
        <w:rPr>
          <w:rFonts w:ascii="Times New Roman" w:hAnsi="Times New Roman" w:cs="Times New Roman"/>
          <w:sz w:val="24"/>
          <w:szCs w:val="24"/>
        </w:rPr>
        <w:t xml:space="preserve"> del tiempo</w:t>
      </w:r>
      <w:r w:rsidR="00C92CB5">
        <w:rPr>
          <w:rFonts w:ascii="Times New Roman" w:hAnsi="Times New Roman" w:cs="Times New Roman"/>
          <w:sz w:val="24"/>
          <w:szCs w:val="24"/>
        </w:rPr>
        <w:t>, por lo que</w:t>
      </w:r>
      <w:r w:rsidRPr="00CD42C9">
        <w:rPr>
          <w:rFonts w:ascii="Times New Roman" w:hAnsi="Times New Roman" w:cs="Times New Roman"/>
          <w:sz w:val="24"/>
          <w:szCs w:val="24"/>
        </w:rPr>
        <w:t xml:space="preserve"> aunque el modelo por competencias ha </w:t>
      </w:r>
      <w:r w:rsidR="00E1046C">
        <w:rPr>
          <w:rFonts w:ascii="Times New Roman" w:hAnsi="Times New Roman" w:cs="Times New Roman"/>
          <w:sz w:val="24"/>
          <w:szCs w:val="24"/>
        </w:rPr>
        <w:t>tenido</w:t>
      </w:r>
      <w:r w:rsidRPr="00CD42C9">
        <w:rPr>
          <w:rFonts w:ascii="Times New Roman" w:hAnsi="Times New Roman" w:cs="Times New Roman"/>
          <w:sz w:val="24"/>
          <w:szCs w:val="24"/>
        </w:rPr>
        <w:t xml:space="preserve"> gran aceptación en los últimos años </w:t>
      </w:r>
      <w:r w:rsidR="00E1046C">
        <w:rPr>
          <w:rFonts w:ascii="Times New Roman" w:hAnsi="Times New Roman" w:cs="Times New Roman"/>
          <w:sz w:val="24"/>
          <w:szCs w:val="24"/>
        </w:rPr>
        <w:t>a partir de</w:t>
      </w:r>
      <w:r w:rsidRPr="00CD42C9">
        <w:rPr>
          <w:rFonts w:ascii="Times New Roman" w:hAnsi="Times New Roman" w:cs="Times New Roman"/>
          <w:sz w:val="24"/>
          <w:szCs w:val="24"/>
        </w:rPr>
        <w:t xml:space="preserve"> conceptos,  procedimientos y actitudes en un esquema de interacción, complementación y convergencia</w:t>
      </w:r>
      <w:r w:rsidR="00CD4152">
        <w:rPr>
          <w:rFonts w:ascii="Times New Roman" w:hAnsi="Times New Roman" w:cs="Times New Roman"/>
          <w:sz w:val="24"/>
          <w:szCs w:val="24"/>
        </w:rPr>
        <w:t>,</w:t>
      </w:r>
      <w:r w:rsidRPr="00CD42C9">
        <w:rPr>
          <w:rFonts w:ascii="Times New Roman" w:hAnsi="Times New Roman" w:cs="Times New Roman"/>
          <w:sz w:val="24"/>
          <w:szCs w:val="24"/>
        </w:rPr>
        <w:t xml:space="preserve"> es un hecho que la memorización </w:t>
      </w:r>
      <w:r w:rsidR="00CD4152">
        <w:rPr>
          <w:rFonts w:ascii="Times New Roman" w:hAnsi="Times New Roman" w:cs="Times New Roman"/>
          <w:sz w:val="24"/>
          <w:szCs w:val="24"/>
        </w:rPr>
        <w:t>desempeña una función</w:t>
      </w:r>
      <w:r w:rsidRPr="00CD42C9">
        <w:rPr>
          <w:rFonts w:ascii="Times New Roman" w:hAnsi="Times New Roman" w:cs="Times New Roman"/>
          <w:sz w:val="24"/>
          <w:szCs w:val="24"/>
        </w:rPr>
        <w:t xml:space="preserve"> </w:t>
      </w:r>
      <w:r w:rsidR="00971955">
        <w:rPr>
          <w:rFonts w:ascii="Times New Roman" w:hAnsi="Times New Roman" w:cs="Times New Roman"/>
          <w:sz w:val="24"/>
          <w:szCs w:val="24"/>
        </w:rPr>
        <w:t>inevitable</w:t>
      </w:r>
      <w:r w:rsidR="00E1046C">
        <w:rPr>
          <w:rFonts w:ascii="Times New Roman" w:hAnsi="Times New Roman" w:cs="Times New Roman"/>
          <w:sz w:val="24"/>
          <w:szCs w:val="24"/>
        </w:rPr>
        <w:t xml:space="preserve"> en la que</w:t>
      </w:r>
      <w:r w:rsidR="00971955">
        <w:rPr>
          <w:rFonts w:ascii="Times New Roman" w:hAnsi="Times New Roman" w:cs="Times New Roman"/>
          <w:sz w:val="24"/>
          <w:szCs w:val="24"/>
        </w:rPr>
        <w:t xml:space="preserve"> se deben aplicar</w:t>
      </w:r>
      <w:r w:rsidRPr="00CD42C9">
        <w:rPr>
          <w:rFonts w:ascii="Times New Roman" w:hAnsi="Times New Roman" w:cs="Times New Roman"/>
          <w:sz w:val="24"/>
          <w:szCs w:val="24"/>
        </w:rPr>
        <w:t xml:space="preserve"> las técnicas a</w:t>
      </w:r>
      <w:r w:rsidR="00E1046C">
        <w:rPr>
          <w:rFonts w:ascii="Times New Roman" w:hAnsi="Times New Roman" w:cs="Times New Roman"/>
          <w:sz w:val="24"/>
          <w:szCs w:val="24"/>
        </w:rPr>
        <w:t>decuadas</w:t>
      </w:r>
      <w:r w:rsidRPr="00CD42C9">
        <w:rPr>
          <w:rFonts w:ascii="Times New Roman" w:hAnsi="Times New Roman" w:cs="Times New Roman"/>
          <w:sz w:val="24"/>
          <w:szCs w:val="24"/>
        </w:rPr>
        <w:t xml:space="preserve"> que faciliten la comprensión y asimilación de conceptos (SEP, 2016). </w:t>
      </w:r>
    </w:p>
    <w:p w:rsidR="00FF5094" w:rsidRPr="00FF5094" w:rsidRDefault="00FF5094" w:rsidP="00FF5094">
      <w:pPr>
        <w:spacing w:after="240" w:line="360" w:lineRule="auto"/>
        <w:jc w:val="both"/>
        <w:rPr>
          <w:rFonts w:ascii="Times New Roman" w:hAnsi="Times New Roman" w:cs="Times New Roman"/>
          <w:sz w:val="24"/>
          <w:szCs w:val="24"/>
        </w:rPr>
      </w:pPr>
      <w:r w:rsidRPr="00FF5094">
        <w:rPr>
          <w:rFonts w:ascii="Times New Roman" w:hAnsi="Times New Roman" w:cs="Times New Roman"/>
          <w:sz w:val="24"/>
          <w:szCs w:val="24"/>
        </w:rPr>
        <w:t xml:space="preserve">Son diversas las materias en </w:t>
      </w:r>
      <w:r w:rsidR="00E1046C">
        <w:rPr>
          <w:rFonts w:ascii="Times New Roman" w:hAnsi="Times New Roman" w:cs="Times New Roman"/>
          <w:sz w:val="24"/>
          <w:szCs w:val="24"/>
        </w:rPr>
        <w:t>las que</w:t>
      </w:r>
      <w:r w:rsidRPr="00FF5094">
        <w:rPr>
          <w:rFonts w:ascii="Times New Roman" w:hAnsi="Times New Roman" w:cs="Times New Roman"/>
          <w:sz w:val="24"/>
          <w:szCs w:val="24"/>
        </w:rPr>
        <w:t xml:space="preserve"> es necesario memorizar términos, </w:t>
      </w:r>
      <w:r w:rsidR="00E1046C">
        <w:rPr>
          <w:rFonts w:ascii="Times New Roman" w:hAnsi="Times New Roman" w:cs="Times New Roman"/>
          <w:sz w:val="24"/>
          <w:szCs w:val="24"/>
        </w:rPr>
        <w:t xml:space="preserve">por ejemplo, </w:t>
      </w:r>
      <w:r w:rsidR="00C92CB5">
        <w:rPr>
          <w:rFonts w:ascii="Times New Roman" w:hAnsi="Times New Roman" w:cs="Times New Roman"/>
          <w:sz w:val="24"/>
          <w:szCs w:val="24"/>
        </w:rPr>
        <w:t>de</w:t>
      </w:r>
      <w:r w:rsidR="00E1046C">
        <w:rPr>
          <w:rFonts w:ascii="Times New Roman" w:hAnsi="Times New Roman" w:cs="Times New Roman"/>
          <w:sz w:val="24"/>
          <w:szCs w:val="24"/>
        </w:rPr>
        <w:t xml:space="preserve"> a</w:t>
      </w:r>
      <w:r w:rsidRPr="00FF5094">
        <w:rPr>
          <w:rFonts w:ascii="Times New Roman" w:hAnsi="Times New Roman" w:cs="Times New Roman"/>
          <w:sz w:val="24"/>
          <w:szCs w:val="24"/>
        </w:rPr>
        <w:t xml:space="preserve">natomía </w:t>
      </w:r>
      <w:r w:rsidR="00E1046C">
        <w:rPr>
          <w:rFonts w:ascii="Times New Roman" w:hAnsi="Times New Roman" w:cs="Times New Roman"/>
          <w:sz w:val="24"/>
          <w:szCs w:val="24"/>
        </w:rPr>
        <w:t>o m</w:t>
      </w:r>
      <w:r>
        <w:rPr>
          <w:rFonts w:ascii="Times New Roman" w:hAnsi="Times New Roman" w:cs="Times New Roman"/>
          <w:sz w:val="24"/>
          <w:szCs w:val="24"/>
        </w:rPr>
        <w:t xml:space="preserve">atemáticas y </w:t>
      </w:r>
      <w:r w:rsidR="00E1046C">
        <w:rPr>
          <w:rFonts w:ascii="Times New Roman" w:hAnsi="Times New Roman" w:cs="Times New Roman"/>
          <w:sz w:val="24"/>
          <w:szCs w:val="24"/>
        </w:rPr>
        <w:t>f</w:t>
      </w:r>
      <w:r>
        <w:rPr>
          <w:rFonts w:ascii="Times New Roman" w:hAnsi="Times New Roman" w:cs="Times New Roman"/>
          <w:sz w:val="24"/>
          <w:szCs w:val="24"/>
        </w:rPr>
        <w:t>ísica.</w:t>
      </w:r>
      <w:r w:rsidRPr="00FF5094">
        <w:rPr>
          <w:rFonts w:ascii="Times New Roman" w:hAnsi="Times New Roman" w:cs="Times New Roman"/>
          <w:sz w:val="24"/>
          <w:szCs w:val="24"/>
        </w:rPr>
        <w:t xml:space="preserve"> </w:t>
      </w:r>
      <w:r>
        <w:rPr>
          <w:rFonts w:ascii="Times New Roman" w:hAnsi="Times New Roman" w:cs="Times New Roman"/>
          <w:sz w:val="24"/>
          <w:szCs w:val="24"/>
        </w:rPr>
        <w:t>T</w:t>
      </w:r>
      <w:r w:rsidRPr="00FF5094">
        <w:rPr>
          <w:rFonts w:ascii="Times New Roman" w:hAnsi="Times New Roman" w:cs="Times New Roman"/>
          <w:sz w:val="24"/>
          <w:szCs w:val="24"/>
        </w:rPr>
        <w:t xml:space="preserve">odo esto ha conducido a </w:t>
      </w:r>
      <w:r w:rsidR="00E1046C">
        <w:rPr>
          <w:rFonts w:ascii="Times New Roman" w:hAnsi="Times New Roman" w:cs="Times New Roman"/>
          <w:sz w:val="24"/>
          <w:szCs w:val="24"/>
        </w:rPr>
        <w:t xml:space="preserve">la inclusión de </w:t>
      </w:r>
      <w:r w:rsidRPr="00FF5094">
        <w:rPr>
          <w:rFonts w:ascii="Times New Roman" w:hAnsi="Times New Roman" w:cs="Times New Roman"/>
          <w:sz w:val="24"/>
          <w:szCs w:val="24"/>
        </w:rPr>
        <w:t xml:space="preserve">una serie de aspectos mnemotécnicos que permitan al estudiante cumplir con el requisito básico de conocer los conceptos para más adelante manejarlos con destreza y proseguir </w:t>
      </w:r>
      <w:r w:rsidR="00E1046C">
        <w:rPr>
          <w:rFonts w:ascii="Times New Roman" w:hAnsi="Times New Roman" w:cs="Times New Roman"/>
          <w:sz w:val="24"/>
          <w:szCs w:val="24"/>
        </w:rPr>
        <w:t>con</w:t>
      </w:r>
      <w:r w:rsidRPr="00FF5094">
        <w:rPr>
          <w:rFonts w:ascii="Times New Roman" w:hAnsi="Times New Roman" w:cs="Times New Roman"/>
          <w:sz w:val="24"/>
          <w:szCs w:val="24"/>
        </w:rPr>
        <w:t xml:space="preserve"> la resolución de problemas más complejos</w:t>
      </w:r>
      <w:r w:rsidR="009B1F70">
        <w:rPr>
          <w:rFonts w:ascii="Times New Roman" w:hAnsi="Times New Roman" w:cs="Times New Roman"/>
          <w:sz w:val="24"/>
          <w:szCs w:val="24"/>
        </w:rPr>
        <w:t xml:space="preserve"> (</w:t>
      </w:r>
      <w:r w:rsidR="00DC0B40">
        <w:rPr>
          <w:rFonts w:ascii="Times New Roman" w:hAnsi="Times New Roman" w:cs="Times New Roman"/>
          <w:sz w:val="24"/>
          <w:szCs w:val="24"/>
        </w:rPr>
        <w:t>SES</w:t>
      </w:r>
      <w:r w:rsidR="009B1F70">
        <w:rPr>
          <w:rFonts w:ascii="Times New Roman" w:hAnsi="Times New Roman" w:cs="Times New Roman"/>
          <w:sz w:val="24"/>
          <w:szCs w:val="24"/>
        </w:rPr>
        <w:t>, 2016)</w:t>
      </w:r>
      <w:r w:rsidRPr="00FF5094">
        <w:rPr>
          <w:rFonts w:ascii="Times New Roman" w:hAnsi="Times New Roman" w:cs="Times New Roman"/>
          <w:sz w:val="24"/>
          <w:szCs w:val="24"/>
        </w:rPr>
        <w:t>.</w:t>
      </w:r>
    </w:p>
    <w:p w:rsidR="00FF5094" w:rsidRPr="00FF5094" w:rsidRDefault="00FF5094" w:rsidP="00FF509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 Universidad Tecnológica de Altamira</w:t>
      </w:r>
      <w:r w:rsidRPr="00FF5094">
        <w:rPr>
          <w:rFonts w:ascii="Times New Roman" w:hAnsi="Times New Roman" w:cs="Times New Roman"/>
          <w:sz w:val="24"/>
          <w:szCs w:val="24"/>
        </w:rPr>
        <w:t xml:space="preserve"> (</w:t>
      </w:r>
      <w:r>
        <w:rPr>
          <w:rFonts w:ascii="Times New Roman" w:hAnsi="Times New Roman" w:cs="Times New Roman"/>
          <w:sz w:val="24"/>
          <w:szCs w:val="24"/>
        </w:rPr>
        <w:t>UTA</w:t>
      </w:r>
      <w:r w:rsidRPr="00FF5094">
        <w:rPr>
          <w:rFonts w:ascii="Times New Roman" w:hAnsi="Times New Roman" w:cs="Times New Roman"/>
          <w:sz w:val="24"/>
          <w:szCs w:val="24"/>
        </w:rPr>
        <w:t xml:space="preserve">), al </w:t>
      </w:r>
      <w:r w:rsidR="00E1046C">
        <w:rPr>
          <w:rFonts w:ascii="Times New Roman" w:hAnsi="Times New Roman" w:cs="Times New Roman"/>
          <w:sz w:val="24"/>
          <w:szCs w:val="24"/>
        </w:rPr>
        <w:t>formar</w:t>
      </w:r>
      <w:r w:rsidRPr="00FF5094">
        <w:rPr>
          <w:rFonts w:ascii="Times New Roman" w:hAnsi="Times New Roman" w:cs="Times New Roman"/>
          <w:sz w:val="24"/>
          <w:szCs w:val="24"/>
        </w:rPr>
        <w:t xml:space="preserve"> parte de las instituciones de educación superior tecnológica en México, </w:t>
      </w:r>
      <w:r w:rsidR="00E1046C">
        <w:rPr>
          <w:rFonts w:ascii="Times New Roman" w:hAnsi="Times New Roman" w:cs="Times New Roman"/>
          <w:sz w:val="24"/>
          <w:szCs w:val="24"/>
        </w:rPr>
        <w:t>ofrece</w:t>
      </w:r>
      <w:r w:rsidRPr="00FF5094">
        <w:rPr>
          <w:rFonts w:ascii="Times New Roman" w:hAnsi="Times New Roman" w:cs="Times New Roman"/>
          <w:sz w:val="24"/>
          <w:szCs w:val="24"/>
        </w:rPr>
        <w:t xml:space="preserve"> carreras </w:t>
      </w:r>
      <w:r w:rsidR="00E1046C">
        <w:rPr>
          <w:rFonts w:ascii="Times New Roman" w:hAnsi="Times New Roman" w:cs="Times New Roman"/>
          <w:sz w:val="24"/>
          <w:szCs w:val="24"/>
        </w:rPr>
        <w:t>cuyos</w:t>
      </w:r>
      <w:r w:rsidRPr="00FF5094">
        <w:rPr>
          <w:rFonts w:ascii="Times New Roman" w:hAnsi="Times New Roman" w:cs="Times New Roman"/>
          <w:sz w:val="24"/>
          <w:szCs w:val="24"/>
        </w:rPr>
        <w:t xml:space="preserve"> programas de estudio </w:t>
      </w:r>
      <w:r w:rsidR="00E1046C">
        <w:rPr>
          <w:rFonts w:ascii="Times New Roman" w:hAnsi="Times New Roman" w:cs="Times New Roman"/>
          <w:sz w:val="24"/>
          <w:szCs w:val="24"/>
        </w:rPr>
        <w:t xml:space="preserve">incluyen </w:t>
      </w:r>
      <w:r w:rsidRPr="00FF5094">
        <w:rPr>
          <w:rFonts w:ascii="Times New Roman" w:hAnsi="Times New Roman" w:cs="Times New Roman"/>
          <w:sz w:val="24"/>
          <w:szCs w:val="24"/>
        </w:rPr>
        <w:t>el manejo de los resistores</w:t>
      </w:r>
      <w:r>
        <w:rPr>
          <w:rFonts w:ascii="Times New Roman" w:hAnsi="Times New Roman" w:cs="Times New Roman"/>
          <w:sz w:val="24"/>
          <w:szCs w:val="24"/>
        </w:rPr>
        <w:t xml:space="preserve"> (UTA, 2016)</w:t>
      </w:r>
      <w:r w:rsidRPr="00FF5094">
        <w:rPr>
          <w:rFonts w:ascii="Times New Roman" w:hAnsi="Times New Roman" w:cs="Times New Roman"/>
          <w:sz w:val="24"/>
          <w:szCs w:val="24"/>
        </w:rPr>
        <w:t xml:space="preserve">, en </w:t>
      </w:r>
      <w:r w:rsidR="00E1046C">
        <w:rPr>
          <w:rFonts w:ascii="Times New Roman" w:hAnsi="Times New Roman" w:cs="Times New Roman"/>
          <w:sz w:val="24"/>
          <w:szCs w:val="24"/>
        </w:rPr>
        <w:t>los que</w:t>
      </w:r>
      <w:r w:rsidRPr="00FF5094">
        <w:rPr>
          <w:rFonts w:ascii="Times New Roman" w:hAnsi="Times New Roman" w:cs="Times New Roman"/>
          <w:sz w:val="24"/>
          <w:szCs w:val="24"/>
        </w:rPr>
        <w:t xml:space="preserve"> la enseñanza del código de colores es primordial, tal como se observa en las áreas de Ingeniería </w:t>
      </w:r>
      <w:r>
        <w:rPr>
          <w:rFonts w:ascii="Times New Roman" w:hAnsi="Times New Roman" w:cs="Times New Roman"/>
          <w:sz w:val="24"/>
          <w:szCs w:val="24"/>
        </w:rPr>
        <w:t>en Mantenimiento Industrial, Mecatrónica y Energías Renovables,</w:t>
      </w:r>
      <w:r w:rsidRPr="00FF5094">
        <w:rPr>
          <w:rFonts w:ascii="Times New Roman" w:hAnsi="Times New Roman" w:cs="Times New Roman"/>
          <w:sz w:val="24"/>
          <w:szCs w:val="24"/>
        </w:rPr>
        <w:t xml:space="preserve"> en </w:t>
      </w:r>
      <w:r>
        <w:rPr>
          <w:rFonts w:ascii="Times New Roman" w:hAnsi="Times New Roman" w:cs="Times New Roman"/>
          <w:sz w:val="24"/>
          <w:szCs w:val="24"/>
        </w:rPr>
        <w:t>las cuales</w:t>
      </w:r>
      <w:r w:rsidRPr="00FF5094">
        <w:rPr>
          <w:rFonts w:ascii="Times New Roman" w:hAnsi="Times New Roman" w:cs="Times New Roman"/>
          <w:sz w:val="24"/>
          <w:szCs w:val="24"/>
        </w:rPr>
        <w:t xml:space="preserve"> los circuitos electrónicos constituyen un aspecto importante (</w:t>
      </w:r>
      <w:r>
        <w:rPr>
          <w:rFonts w:ascii="Times New Roman" w:hAnsi="Times New Roman" w:cs="Times New Roman"/>
          <w:sz w:val="24"/>
          <w:szCs w:val="24"/>
        </w:rPr>
        <w:t>CGUTyP, 2016</w:t>
      </w:r>
      <w:r w:rsidRPr="00FF5094">
        <w:rPr>
          <w:rFonts w:ascii="Times New Roman" w:hAnsi="Times New Roman" w:cs="Times New Roman"/>
          <w:sz w:val="24"/>
          <w:szCs w:val="24"/>
        </w:rPr>
        <w:t xml:space="preserve">). </w:t>
      </w:r>
    </w:p>
    <w:p w:rsidR="002D79C7" w:rsidRDefault="00FF5094" w:rsidP="00FF5094">
      <w:pPr>
        <w:spacing w:after="240" w:line="360" w:lineRule="auto"/>
        <w:jc w:val="both"/>
        <w:rPr>
          <w:rFonts w:ascii="Times New Roman" w:hAnsi="Times New Roman" w:cs="Times New Roman"/>
          <w:sz w:val="24"/>
          <w:szCs w:val="24"/>
        </w:rPr>
      </w:pPr>
      <w:r w:rsidRPr="00FF5094">
        <w:rPr>
          <w:rFonts w:ascii="Times New Roman" w:hAnsi="Times New Roman" w:cs="Times New Roman"/>
          <w:sz w:val="24"/>
          <w:szCs w:val="24"/>
        </w:rPr>
        <w:lastRenderedPageBreak/>
        <w:t>Por otra parte</w:t>
      </w:r>
      <w:r w:rsidR="00E1046C">
        <w:rPr>
          <w:rFonts w:ascii="Times New Roman" w:hAnsi="Times New Roman" w:cs="Times New Roman"/>
          <w:sz w:val="24"/>
          <w:szCs w:val="24"/>
        </w:rPr>
        <w:t>,</w:t>
      </w:r>
      <w:r w:rsidRPr="00FF5094">
        <w:rPr>
          <w:rFonts w:ascii="Times New Roman" w:hAnsi="Times New Roman" w:cs="Times New Roman"/>
          <w:sz w:val="24"/>
          <w:szCs w:val="24"/>
        </w:rPr>
        <w:t xml:space="preserve"> es importante considera</w:t>
      </w:r>
      <w:r w:rsidR="00E1046C">
        <w:rPr>
          <w:rFonts w:ascii="Times New Roman" w:hAnsi="Times New Roman" w:cs="Times New Roman"/>
          <w:sz w:val="24"/>
          <w:szCs w:val="24"/>
        </w:rPr>
        <w:t>r</w:t>
      </w:r>
      <w:r w:rsidRPr="00FF5094">
        <w:rPr>
          <w:rFonts w:ascii="Times New Roman" w:hAnsi="Times New Roman" w:cs="Times New Roman"/>
          <w:sz w:val="24"/>
          <w:szCs w:val="24"/>
        </w:rPr>
        <w:t xml:space="preserve"> </w:t>
      </w:r>
      <w:r w:rsidR="00E1046C">
        <w:rPr>
          <w:rFonts w:ascii="Times New Roman" w:hAnsi="Times New Roman" w:cs="Times New Roman"/>
          <w:sz w:val="24"/>
          <w:szCs w:val="24"/>
        </w:rPr>
        <w:t xml:space="preserve">un </w:t>
      </w:r>
      <w:r w:rsidRPr="00FF5094">
        <w:rPr>
          <w:rFonts w:ascii="Times New Roman" w:hAnsi="Times New Roman" w:cs="Times New Roman"/>
          <w:sz w:val="24"/>
          <w:szCs w:val="24"/>
        </w:rPr>
        <w:t xml:space="preserve">método </w:t>
      </w:r>
      <w:r w:rsidR="00E1046C">
        <w:rPr>
          <w:rFonts w:ascii="Times New Roman" w:hAnsi="Times New Roman" w:cs="Times New Roman"/>
          <w:sz w:val="24"/>
          <w:szCs w:val="24"/>
        </w:rPr>
        <w:t xml:space="preserve">apropiado </w:t>
      </w:r>
      <w:r w:rsidRPr="00FF5094">
        <w:rPr>
          <w:rFonts w:ascii="Times New Roman" w:hAnsi="Times New Roman" w:cs="Times New Roman"/>
          <w:sz w:val="24"/>
          <w:szCs w:val="24"/>
        </w:rPr>
        <w:t xml:space="preserve">de enseñanza-aprendizaje que </w:t>
      </w:r>
      <w:r w:rsidR="00E1046C">
        <w:rPr>
          <w:rFonts w:ascii="Times New Roman" w:hAnsi="Times New Roman" w:cs="Times New Roman"/>
          <w:sz w:val="24"/>
          <w:szCs w:val="24"/>
        </w:rPr>
        <w:t xml:space="preserve">le </w:t>
      </w:r>
      <w:r w:rsidRPr="00FF5094">
        <w:rPr>
          <w:rFonts w:ascii="Times New Roman" w:hAnsi="Times New Roman" w:cs="Times New Roman"/>
          <w:sz w:val="24"/>
          <w:szCs w:val="24"/>
        </w:rPr>
        <w:t>permita al alumno no s</w:t>
      </w:r>
      <w:r w:rsidR="00E1046C">
        <w:rPr>
          <w:rFonts w:ascii="Times New Roman" w:hAnsi="Times New Roman" w:cs="Times New Roman"/>
          <w:sz w:val="24"/>
          <w:szCs w:val="24"/>
        </w:rPr>
        <w:t>ó</w:t>
      </w:r>
      <w:r w:rsidRPr="00FF5094">
        <w:rPr>
          <w:rFonts w:ascii="Times New Roman" w:hAnsi="Times New Roman" w:cs="Times New Roman"/>
          <w:sz w:val="24"/>
          <w:szCs w:val="24"/>
        </w:rPr>
        <w:t xml:space="preserve">lo memorizar los conceptos, sino </w:t>
      </w:r>
      <w:r w:rsidR="00E1046C">
        <w:rPr>
          <w:rFonts w:ascii="Times New Roman" w:hAnsi="Times New Roman" w:cs="Times New Roman"/>
          <w:sz w:val="24"/>
          <w:szCs w:val="24"/>
        </w:rPr>
        <w:t xml:space="preserve">también </w:t>
      </w:r>
      <w:r w:rsidRPr="00FF5094">
        <w:rPr>
          <w:rFonts w:ascii="Times New Roman" w:hAnsi="Times New Roman" w:cs="Times New Roman"/>
          <w:sz w:val="24"/>
          <w:szCs w:val="24"/>
        </w:rPr>
        <w:t xml:space="preserve">aprender el proceso mismo de memorización para </w:t>
      </w:r>
      <w:r w:rsidR="001E6846">
        <w:rPr>
          <w:rFonts w:ascii="Times New Roman" w:hAnsi="Times New Roman" w:cs="Times New Roman"/>
          <w:sz w:val="24"/>
          <w:szCs w:val="24"/>
        </w:rPr>
        <w:t xml:space="preserve">poder </w:t>
      </w:r>
      <w:r w:rsidRPr="00FF5094">
        <w:rPr>
          <w:rFonts w:ascii="Times New Roman" w:hAnsi="Times New Roman" w:cs="Times New Roman"/>
          <w:sz w:val="24"/>
          <w:szCs w:val="24"/>
        </w:rPr>
        <w:t>aplicarlo en otros contextos.</w:t>
      </w:r>
    </w:p>
    <w:p w:rsidR="00FF5094" w:rsidRPr="00FF5094" w:rsidRDefault="00FF5094" w:rsidP="00FF509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Aunado a esto, </w:t>
      </w:r>
      <w:r w:rsidRPr="00FF5094">
        <w:rPr>
          <w:rFonts w:ascii="Times New Roman" w:hAnsi="Times New Roman" w:cs="Times New Roman"/>
          <w:sz w:val="24"/>
          <w:szCs w:val="24"/>
        </w:rPr>
        <w:t>la comprensión de los diversos conceptos y formas del lenguaje no sólo es un problema de índole social que afecta directamente el proceso de comunicación, sino que además se manifiesta en la programación de diversos aparatos electrónicos. Con base en observaciones realizadas a alumnos de diversas carreras de</w:t>
      </w:r>
      <w:r w:rsidR="00051188">
        <w:rPr>
          <w:rFonts w:ascii="Times New Roman" w:hAnsi="Times New Roman" w:cs="Times New Roman"/>
          <w:sz w:val="24"/>
          <w:szCs w:val="24"/>
        </w:rPr>
        <w:t xml:space="preserve"> </w:t>
      </w:r>
      <w:r w:rsidRPr="00FF5094">
        <w:rPr>
          <w:rFonts w:ascii="Times New Roman" w:hAnsi="Times New Roman" w:cs="Times New Roman"/>
          <w:sz w:val="24"/>
          <w:szCs w:val="24"/>
        </w:rPr>
        <w:t>l</w:t>
      </w:r>
      <w:r w:rsidR="00051188">
        <w:rPr>
          <w:rFonts w:ascii="Times New Roman" w:hAnsi="Times New Roman" w:cs="Times New Roman"/>
          <w:sz w:val="24"/>
          <w:szCs w:val="24"/>
        </w:rPr>
        <w:t>a</w:t>
      </w:r>
      <w:r w:rsidRPr="00FF5094">
        <w:rPr>
          <w:rFonts w:ascii="Times New Roman" w:hAnsi="Times New Roman" w:cs="Times New Roman"/>
          <w:sz w:val="24"/>
          <w:szCs w:val="24"/>
        </w:rPr>
        <w:t xml:space="preserve"> </w:t>
      </w:r>
      <w:r w:rsidR="00051188">
        <w:rPr>
          <w:rFonts w:ascii="Times New Roman" w:hAnsi="Times New Roman" w:cs="Times New Roman"/>
          <w:sz w:val="24"/>
          <w:szCs w:val="24"/>
        </w:rPr>
        <w:t>UTA</w:t>
      </w:r>
      <w:r w:rsidRPr="00FF5094">
        <w:rPr>
          <w:rFonts w:ascii="Times New Roman" w:hAnsi="Times New Roman" w:cs="Times New Roman"/>
          <w:sz w:val="24"/>
          <w:szCs w:val="24"/>
        </w:rPr>
        <w:t>, se encontró que en general presentan problemas para memorizar conceptos, términos e ideas a largo plazo, d</w:t>
      </w:r>
      <w:r w:rsidR="001E6846">
        <w:rPr>
          <w:rFonts w:ascii="Times New Roman" w:hAnsi="Times New Roman" w:cs="Times New Roman"/>
          <w:sz w:val="24"/>
          <w:szCs w:val="24"/>
        </w:rPr>
        <w:t xml:space="preserve">e modo que comúnmente sólo se preocupan </w:t>
      </w:r>
      <w:r w:rsidRPr="00FF5094">
        <w:rPr>
          <w:rFonts w:ascii="Times New Roman" w:hAnsi="Times New Roman" w:cs="Times New Roman"/>
          <w:sz w:val="24"/>
          <w:szCs w:val="24"/>
        </w:rPr>
        <w:t xml:space="preserve">por retener la información para acreditar las </w:t>
      </w:r>
      <w:r w:rsidR="00051188">
        <w:rPr>
          <w:rFonts w:ascii="Times New Roman" w:hAnsi="Times New Roman" w:cs="Times New Roman"/>
          <w:sz w:val="24"/>
          <w:szCs w:val="24"/>
        </w:rPr>
        <w:t>evaluaciones</w:t>
      </w:r>
      <w:r w:rsidRPr="00FF5094">
        <w:rPr>
          <w:rFonts w:ascii="Times New Roman" w:hAnsi="Times New Roman" w:cs="Times New Roman"/>
          <w:sz w:val="24"/>
          <w:szCs w:val="24"/>
        </w:rPr>
        <w:t xml:space="preserve"> de las materias.</w:t>
      </w:r>
    </w:p>
    <w:p w:rsidR="00FF5094" w:rsidRPr="00FF5094" w:rsidRDefault="00FF5094" w:rsidP="00FF5094">
      <w:pPr>
        <w:spacing w:after="240" w:line="360" w:lineRule="auto"/>
        <w:jc w:val="both"/>
        <w:rPr>
          <w:rFonts w:ascii="Times New Roman" w:hAnsi="Times New Roman" w:cs="Times New Roman"/>
          <w:sz w:val="24"/>
          <w:szCs w:val="24"/>
        </w:rPr>
      </w:pPr>
      <w:r w:rsidRPr="00FF5094">
        <w:rPr>
          <w:rFonts w:ascii="Times New Roman" w:hAnsi="Times New Roman" w:cs="Times New Roman"/>
          <w:sz w:val="24"/>
          <w:szCs w:val="24"/>
        </w:rPr>
        <w:t xml:space="preserve">De este modo, los objetivos están lejos de </w:t>
      </w:r>
      <w:r w:rsidR="0029102F">
        <w:rPr>
          <w:rFonts w:ascii="Times New Roman" w:hAnsi="Times New Roman" w:cs="Times New Roman"/>
          <w:sz w:val="24"/>
          <w:szCs w:val="24"/>
        </w:rPr>
        <w:t xml:space="preserve">ser </w:t>
      </w:r>
      <w:r w:rsidRPr="00FF5094">
        <w:rPr>
          <w:rFonts w:ascii="Times New Roman" w:hAnsi="Times New Roman" w:cs="Times New Roman"/>
          <w:sz w:val="24"/>
          <w:szCs w:val="24"/>
        </w:rPr>
        <w:t>alcanzados, además de que la idea principal es que los conceptos queden firmemente arraigados y comprendidos para ser utilizados con destreza y confianza en la resolución de problemas más complejos.</w:t>
      </w:r>
    </w:p>
    <w:p w:rsidR="00FF5094" w:rsidRPr="00FF5094" w:rsidRDefault="001E59F0" w:rsidP="00FF5094">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investigación se propuso un método que permitiera a los alumnos aprender el código de colores de resistencias y comprender el proceso de memorización para </w:t>
      </w:r>
      <w:r w:rsidR="00162293">
        <w:rPr>
          <w:rFonts w:ascii="Times New Roman" w:hAnsi="Times New Roman" w:cs="Times New Roman"/>
          <w:sz w:val="24"/>
          <w:szCs w:val="24"/>
        </w:rPr>
        <w:t>después</w:t>
      </w:r>
      <w:r w:rsidR="0026538D">
        <w:rPr>
          <w:rFonts w:ascii="Times New Roman" w:hAnsi="Times New Roman" w:cs="Times New Roman"/>
          <w:sz w:val="24"/>
          <w:szCs w:val="24"/>
        </w:rPr>
        <w:t xml:space="preserve"> </w:t>
      </w:r>
      <w:r>
        <w:rPr>
          <w:rFonts w:ascii="Times New Roman" w:hAnsi="Times New Roman" w:cs="Times New Roman"/>
          <w:sz w:val="24"/>
          <w:szCs w:val="24"/>
        </w:rPr>
        <w:t>utiliza</w:t>
      </w:r>
      <w:r w:rsidR="0026538D">
        <w:rPr>
          <w:rFonts w:ascii="Times New Roman" w:hAnsi="Times New Roman" w:cs="Times New Roman"/>
          <w:sz w:val="24"/>
          <w:szCs w:val="24"/>
        </w:rPr>
        <w:t>rlo</w:t>
      </w:r>
      <w:r>
        <w:rPr>
          <w:rFonts w:ascii="Times New Roman" w:hAnsi="Times New Roman" w:cs="Times New Roman"/>
          <w:sz w:val="24"/>
          <w:szCs w:val="24"/>
        </w:rPr>
        <w:t xml:space="preserve"> en otras áreas. </w:t>
      </w:r>
      <w:r w:rsidR="0026538D">
        <w:rPr>
          <w:rFonts w:ascii="Times New Roman" w:hAnsi="Times New Roman" w:cs="Times New Roman"/>
          <w:sz w:val="24"/>
          <w:szCs w:val="24"/>
        </w:rPr>
        <w:t xml:space="preserve">Con el fin de </w:t>
      </w:r>
      <w:r>
        <w:rPr>
          <w:rFonts w:ascii="Times New Roman" w:hAnsi="Times New Roman" w:cs="Times New Roman"/>
          <w:sz w:val="24"/>
          <w:szCs w:val="24"/>
        </w:rPr>
        <w:t>lograr este objetivo se analizaron los elementos de configuración para el diseño del método de a</w:t>
      </w:r>
      <w:r w:rsidR="001E6846">
        <w:rPr>
          <w:rFonts w:ascii="Times New Roman" w:hAnsi="Times New Roman" w:cs="Times New Roman"/>
          <w:sz w:val="24"/>
          <w:szCs w:val="24"/>
        </w:rPr>
        <w:t xml:space="preserve">prendizaje </w:t>
      </w:r>
      <w:r w:rsidR="00162293">
        <w:rPr>
          <w:rFonts w:ascii="Times New Roman" w:hAnsi="Times New Roman" w:cs="Times New Roman"/>
          <w:sz w:val="24"/>
          <w:szCs w:val="24"/>
        </w:rPr>
        <w:t>en</w:t>
      </w:r>
      <w:r w:rsidR="001E6846">
        <w:rPr>
          <w:rFonts w:ascii="Times New Roman" w:hAnsi="Times New Roman" w:cs="Times New Roman"/>
          <w:sz w:val="24"/>
          <w:szCs w:val="24"/>
        </w:rPr>
        <w:t xml:space="preserve"> la memorización. T</w:t>
      </w:r>
      <w:r>
        <w:rPr>
          <w:rFonts w:ascii="Times New Roman" w:hAnsi="Times New Roman" w:cs="Times New Roman"/>
          <w:sz w:val="24"/>
          <w:szCs w:val="24"/>
        </w:rPr>
        <w:t>ambién se desarroll</w:t>
      </w:r>
      <w:r w:rsidR="00162293">
        <w:rPr>
          <w:rFonts w:ascii="Times New Roman" w:hAnsi="Times New Roman" w:cs="Times New Roman"/>
          <w:sz w:val="24"/>
          <w:szCs w:val="24"/>
        </w:rPr>
        <w:t>ó</w:t>
      </w:r>
      <w:r>
        <w:rPr>
          <w:rFonts w:ascii="Times New Roman" w:hAnsi="Times New Roman" w:cs="Times New Roman"/>
          <w:sz w:val="24"/>
          <w:szCs w:val="24"/>
        </w:rPr>
        <w:t xml:space="preserve"> un conjunto de relaciones mnemotécnicas con las características apropiadas para que el alumno mejor</w:t>
      </w:r>
      <w:r w:rsidR="00C92CB5">
        <w:rPr>
          <w:rFonts w:ascii="Times New Roman" w:hAnsi="Times New Roman" w:cs="Times New Roman"/>
          <w:sz w:val="24"/>
          <w:szCs w:val="24"/>
        </w:rPr>
        <w:t>e</w:t>
      </w:r>
      <w:r>
        <w:rPr>
          <w:rFonts w:ascii="Times New Roman" w:hAnsi="Times New Roman" w:cs="Times New Roman"/>
          <w:sz w:val="24"/>
          <w:szCs w:val="24"/>
        </w:rPr>
        <w:t xml:space="preserve"> su comprensión del código de colores. </w:t>
      </w:r>
      <w:r w:rsidR="00162293">
        <w:rPr>
          <w:rFonts w:ascii="Times New Roman" w:hAnsi="Times New Roman" w:cs="Times New Roman"/>
          <w:sz w:val="24"/>
          <w:szCs w:val="24"/>
        </w:rPr>
        <w:t>Finalmente,</w:t>
      </w:r>
      <w:r>
        <w:rPr>
          <w:rFonts w:ascii="Times New Roman" w:hAnsi="Times New Roman" w:cs="Times New Roman"/>
          <w:sz w:val="24"/>
          <w:szCs w:val="24"/>
        </w:rPr>
        <w:t xml:space="preserve"> se evaluaron los efectos producidos por dichas relaciones en el desempeño académico de los alumnos al trabajar con resistores. </w:t>
      </w:r>
    </w:p>
    <w:p w:rsidR="00CB568E" w:rsidRPr="009E59D0" w:rsidRDefault="009E59D0" w:rsidP="003F41C1">
      <w:pPr>
        <w:spacing w:before="120" w:after="240" w:line="360" w:lineRule="auto"/>
        <w:jc w:val="both"/>
        <w:rPr>
          <w:rFonts w:ascii="Calibri" w:eastAsia="Times New Roman" w:hAnsi="Calibri" w:cs="Calibri"/>
          <w:sz w:val="28"/>
          <w:szCs w:val="28"/>
          <w:lang w:val="es-ES" w:eastAsia="es-ES"/>
        </w:rPr>
      </w:pPr>
      <w:r>
        <w:rPr>
          <w:rFonts w:ascii="Calibri" w:eastAsia="Times New Roman" w:hAnsi="Calibri" w:cs="Calibri"/>
          <w:sz w:val="28"/>
          <w:szCs w:val="28"/>
          <w:lang w:val="es-ES" w:eastAsia="es-ES"/>
        </w:rPr>
        <w:t>Fundamentos</w:t>
      </w:r>
      <w:r w:rsidRPr="009E59D0">
        <w:rPr>
          <w:rFonts w:ascii="Calibri" w:eastAsia="Times New Roman" w:hAnsi="Calibri" w:cs="Calibri"/>
          <w:sz w:val="28"/>
          <w:szCs w:val="28"/>
          <w:lang w:val="es-ES" w:eastAsia="es-ES"/>
        </w:rPr>
        <w:t xml:space="preserve"> teórico</w:t>
      </w:r>
      <w:r>
        <w:rPr>
          <w:rFonts w:ascii="Calibri" w:eastAsia="Times New Roman" w:hAnsi="Calibri" w:cs="Calibri"/>
          <w:sz w:val="28"/>
          <w:szCs w:val="28"/>
          <w:lang w:val="es-ES" w:eastAsia="es-ES"/>
        </w:rPr>
        <w:t>s</w:t>
      </w:r>
    </w:p>
    <w:p w:rsidR="00172481" w:rsidRPr="00172481" w:rsidRDefault="00172481" w:rsidP="00172481">
      <w:pPr>
        <w:pStyle w:val="normaltext"/>
        <w:spacing w:before="0" w:beforeAutospacing="0" w:after="240" w:afterAutospacing="0" w:line="360" w:lineRule="auto"/>
        <w:rPr>
          <w:rFonts w:ascii="Times New Roman" w:eastAsiaTheme="minorHAnsi" w:hAnsi="Times New Roman"/>
          <w:sz w:val="24"/>
          <w:szCs w:val="24"/>
          <w:lang w:val="es-MX"/>
        </w:rPr>
      </w:pPr>
      <w:r w:rsidRPr="00172481">
        <w:rPr>
          <w:rFonts w:ascii="Times New Roman" w:eastAsiaTheme="minorHAnsi" w:hAnsi="Times New Roman"/>
          <w:sz w:val="24"/>
          <w:szCs w:val="24"/>
          <w:lang w:val="es-MX"/>
        </w:rPr>
        <w:t>El cerebro es un</w:t>
      </w:r>
      <w:r w:rsidR="00162293">
        <w:rPr>
          <w:rFonts w:ascii="Times New Roman" w:eastAsiaTheme="minorHAnsi" w:hAnsi="Times New Roman"/>
          <w:sz w:val="24"/>
          <w:szCs w:val="24"/>
          <w:lang w:val="es-MX"/>
        </w:rPr>
        <w:t xml:space="preserve"> órgano muy importante y</w:t>
      </w:r>
      <w:r w:rsidRPr="00172481">
        <w:rPr>
          <w:rFonts w:ascii="Times New Roman" w:eastAsiaTheme="minorHAnsi" w:hAnsi="Times New Roman"/>
          <w:sz w:val="24"/>
          <w:szCs w:val="24"/>
          <w:lang w:val="es-MX"/>
        </w:rPr>
        <w:t xml:space="preserve"> uno de los centros nerviosos constitutivos del encéfalo, con una gran cantidad de elementos que han sido objeto de estudio de la neurología, neuropsiquiatría y neuropsicología. Los estudios han revelado zonas de inteligencia encargadas de funciones </w:t>
      </w:r>
      <w:r w:rsidR="00162293">
        <w:rPr>
          <w:rFonts w:ascii="Times New Roman" w:eastAsiaTheme="minorHAnsi" w:hAnsi="Times New Roman"/>
          <w:sz w:val="24"/>
          <w:szCs w:val="24"/>
          <w:lang w:val="es-MX"/>
        </w:rPr>
        <w:t>específicas</w:t>
      </w:r>
      <w:r w:rsidRPr="00172481">
        <w:rPr>
          <w:rFonts w:ascii="Times New Roman" w:eastAsiaTheme="minorHAnsi" w:hAnsi="Times New Roman"/>
          <w:sz w:val="24"/>
          <w:szCs w:val="24"/>
          <w:lang w:val="es-MX"/>
        </w:rPr>
        <w:t xml:space="preserve"> (</w:t>
      </w:r>
      <w:proofErr w:type="spellStart"/>
      <w:r w:rsidRPr="00172481">
        <w:rPr>
          <w:rFonts w:ascii="Times New Roman" w:eastAsiaTheme="minorHAnsi" w:hAnsi="Times New Roman"/>
          <w:sz w:val="24"/>
          <w:szCs w:val="24"/>
          <w:lang w:val="es-MX"/>
        </w:rPr>
        <w:t>Frackowiak</w:t>
      </w:r>
      <w:proofErr w:type="spellEnd"/>
      <w:r w:rsidRPr="00172481">
        <w:rPr>
          <w:rFonts w:ascii="Times New Roman" w:eastAsiaTheme="minorHAnsi" w:hAnsi="Times New Roman"/>
          <w:sz w:val="24"/>
          <w:szCs w:val="24"/>
          <w:lang w:val="es-MX"/>
        </w:rPr>
        <w:t xml:space="preserve"> et al.,  2005).</w:t>
      </w:r>
    </w:p>
    <w:p w:rsidR="00172481" w:rsidRPr="00172481" w:rsidRDefault="00172481" w:rsidP="00172481">
      <w:pPr>
        <w:pStyle w:val="normaltext"/>
        <w:spacing w:after="240" w:afterAutospacing="0" w:line="360" w:lineRule="auto"/>
        <w:rPr>
          <w:rFonts w:ascii="Times New Roman" w:eastAsiaTheme="minorHAnsi" w:hAnsi="Times New Roman"/>
          <w:sz w:val="24"/>
          <w:szCs w:val="24"/>
          <w:lang w:val="es-MX"/>
        </w:rPr>
      </w:pPr>
      <w:r w:rsidRPr="00172481">
        <w:rPr>
          <w:rFonts w:ascii="Times New Roman" w:eastAsiaTheme="minorHAnsi" w:hAnsi="Times New Roman"/>
          <w:sz w:val="24"/>
          <w:szCs w:val="24"/>
          <w:lang w:val="es-MX"/>
        </w:rPr>
        <w:lastRenderedPageBreak/>
        <w:t xml:space="preserve">El cerebro </w:t>
      </w:r>
      <w:r w:rsidR="00162293">
        <w:rPr>
          <w:rFonts w:ascii="Times New Roman" w:eastAsiaTheme="minorHAnsi" w:hAnsi="Times New Roman"/>
          <w:sz w:val="24"/>
          <w:szCs w:val="24"/>
          <w:lang w:val="es-MX"/>
        </w:rPr>
        <w:t>tiene</w:t>
      </w:r>
      <w:r w:rsidRPr="00172481">
        <w:rPr>
          <w:rFonts w:ascii="Times New Roman" w:eastAsiaTheme="minorHAnsi" w:hAnsi="Times New Roman"/>
          <w:sz w:val="24"/>
          <w:szCs w:val="24"/>
          <w:lang w:val="es-MX"/>
        </w:rPr>
        <w:t xml:space="preserve"> seis zonas de inteligencia que controlan las siguientes funciones: ejecutiva y social, de memoria, emocional, de lenguaje, matemática y espacial, </w:t>
      </w:r>
      <w:r w:rsidR="001D07EE">
        <w:rPr>
          <w:rFonts w:ascii="Times New Roman" w:eastAsiaTheme="minorHAnsi" w:hAnsi="Times New Roman"/>
          <w:sz w:val="24"/>
          <w:szCs w:val="24"/>
          <w:lang w:val="es-MX"/>
        </w:rPr>
        <w:t>y está directamente relacionado con los impulsos y las emociones (Goleman, 2008).</w:t>
      </w:r>
    </w:p>
    <w:p w:rsidR="00172481" w:rsidRPr="00172481" w:rsidRDefault="00172481" w:rsidP="00172481">
      <w:pPr>
        <w:spacing w:after="240" w:line="360" w:lineRule="auto"/>
        <w:jc w:val="both"/>
        <w:rPr>
          <w:rFonts w:ascii="Times New Roman" w:hAnsi="Times New Roman" w:cs="Times New Roman"/>
          <w:sz w:val="24"/>
          <w:szCs w:val="24"/>
        </w:rPr>
      </w:pPr>
      <w:r w:rsidRPr="00172481">
        <w:rPr>
          <w:rFonts w:ascii="Times New Roman" w:hAnsi="Times New Roman" w:cs="Times New Roman"/>
          <w:sz w:val="24"/>
          <w:szCs w:val="24"/>
        </w:rPr>
        <w:t xml:space="preserve">La función de la memoria se asocia con el desarrollo de las demás habilidades mentales. El aprendizaje tiene como base la capacidad del cerebro para transformar una experiencia actual en un código y almacenarlo, de manera </w:t>
      </w:r>
      <w:r w:rsidR="00F400DE">
        <w:rPr>
          <w:rFonts w:ascii="Times New Roman" w:hAnsi="Times New Roman" w:cs="Times New Roman"/>
          <w:sz w:val="24"/>
          <w:szCs w:val="24"/>
        </w:rPr>
        <w:t xml:space="preserve">tal </w:t>
      </w:r>
      <w:r w:rsidRPr="00172481">
        <w:rPr>
          <w:rFonts w:ascii="Times New Roman" w:hAnsi="Times New Roman" w:cs="Times New Roman"/>
          <w:sz w:val="24"/>
          <w:szCs w:val="24"/>
        </w:rPr>
        <w:t xml:space="preserve">que en el futuro la experiencia pueda ser recordada para beneficio propio. </w:t>
      </w:r>
    </w:p>
    <w:p w:rsidR="00172481" w:rsidRPr="00172481" w:rsidRDefault="00172481" w:rsidP="00172481">
      <w:pPr>
        <w:spacing w:after="240" w:line="360" w:lineRule="auto"/>
        <w:jc w:val="both"/>
        <w:rPr>
          <w:rFonts w:ascii="Times New Roman" w:hAnsi="Times New Roman" w:cs="Times New Roman"/>
          <w:sz w:val="24"/>
          <w:szCs w:val="24"/>
        </w:rPr>
      </w:pPr>
      <w:r w:rsidRPr="00172481">
        <w:rPr>
          <w:rFonts w:ascii="Times New Roman" w:hAnsi="Times New Roman" w:cs="Times New Roman"/>
          <w:sz w:val="24"/>
          <w:szCs w:val="24"/>
        </w:rPr>
        <w:t xml:space="preserve">Sin que </w:t>
      </w:r>
      <w:r w:rsidR="00F400DE">
        <w:rPr>
          <w:rFonts w:ascii="Times New Roman" w:hAnsi="Times New Roman" w:cs="Times New Roman"/>
          <w:sz w:val="24"/>
          <w:szCs w:val="24"/>
        </w:rPr>
        <w:t>haya</w:t>
      </w:r>
      <w:r w:rsidRPr="00172481">
        <w:rPr>
          <w:rFonts w:ascii="Times New Roman" w:hAnsi="Times New Roman" w:cs="Times New Roman"/>
          <w:sz w:val="24"/>
          <w:szCs w:val="24"/>
        </w:rPr>
        <w:t xml:space="preserve"> un esfuerzo consciente por </w:t>
      </w:r>
      <w:r w:rsidR="00F400DE">
        <w:rPr>
          <w:rFonts w:ascii="Times New Roman" w:hAnsi="Times New Roman" w:cs="Times New Roman"/>
          <w:sz w:val="24"/>
          <w:szCs w:val="24"/>
        </w:rPr>
        <w:t>parte d</w:t>
      </w:r>
      <w:r w:rsidRPr="00172481">
        <w:rPr>
          <w:rFonts w:ascii="Times New Roman" w:hAnsi="Times New Roman" w:cs="Times New Roman"/>
          <w:sz w:val="24"/>
          <w:szCs w:val="24"/>
        </w:rPr>
        <w:t xml:space="preserve">el ser humano, su cerebro es capaz de codificar de manera permanente cierta información que los sentidos le envían. La memoria también puede acumular otro tipo de datos, ya que de forma consciente se pasan repetidas veces ciertas referencias a través de un circuito de ensayo, lo que también puede suceder durante el sueño. </w:t>
      </w:r>
    </w:p>
    <w:p w:rsidR="00172481" w:rsidRPr="00172481" w:rsidRDefault="00172481" w:rsidP="00172481">
      <w:pPr>
        <w:spacing w:after="240" w:line="360" w:lineRule="auto"/>
        <w:jc w:val="both"/>
        <w:rPr>
          <w:rFonts w:ascii="Times New Roman" w:hAnsi="Times New Roman" w:cs="Times New Roman"/>
          <w:sz w:val="24"/>
          <w:szCs w:val="24"/>
        </w:rPr>
      </w:pPr>
      <w:r w:rsidRPr="00172481">
        <w:rPr>
          <w:rFonts w:ascii="Times New Roman" w:hAnsi="Times New Roman" w:cs="Times New Roman"/>
          <w:sz w:val="24"/>
          <w:szCs w:val="24"/>
        </w:rPr>
        <w:t xml:space="preserve">El cerebro de forma natural codifica experiencias en forma indeleble, instantánea y sin ningún esfuerzo, algo </w:t>
      </w:r>
      <w:r w:rsidR="00447F9E">
        <w:rPr>
          <w:rFonts w:ascii="Times New Roman" w:hAnsi="Times New Roman" w:cs="Times New Roman"/>
          <w:sz w:val="24"/>
          <w:szCs w:val="24"/>
        </w:rPr>
        <w:t xml:space="preserve">tan </w:t>
      </w:r>
      <w:r w:rsidRPr="00172481">
        <w:rPr>
          <w:rFonts w:ascii="Times New Roman" w:hAnsi="Times New Roman" w:cs="Times New Roman"/>
          <w:sz w:val="24"/>
          <w:szCs w:val="24"/>
        </w:rPr>
        <w:t xml:space="preserve">vinculado </w:t>
      </w:r>
      <w:r w:rsidR="00447F9E">
        <w:rPr>
          <w:rFonts w:ascii="Times New Roman" w:hAnsi="Times New Roman" w:cs="Times New Roman"/>
          <w:sz w:val="24"/>
          <w:szCs w:val="24"/>
        </w:rPr>
        <w:t xml:space="preserve">a </w:t>
      </w:r>
      <w:r w:rsidRPr="00172481">
        <w:rPr>
          <w:rFonts w:ascii="Times New Roman" w:hAnsi="Times New Roman" w:cs="Times New Roman"/>
          <w:sz w:val="24"/>
          <w:szCs w:val="24"/>
        </w:rPr>
        <w:t xml:space="preserve">la supervivencia elemental que la mente consciente tiene que dejar que los instintos </w:t>
      </w:r>
      <w:r w:rsidR="00447F9E">
        <w:rPr>
          <w:rFonts w:ascii="Times New Roman" w:hAnsi="Times New Roman" w:cs="Times New Roman"/>
          <w:sz w:val="24"/>
          <w:szCs w:val="24"/>
        </w:rPr>
        <w:t>a</w:t>
      </w:r>
      <w:r w:rsidRPr="00172481">
        <w:rPr>
          <w:rFonts w:ascii="Times New Roman" w:hAnsi="Times New Roman" w:cs="Times New Roman"/>
          <w:sz w:val="24"/>
          <w:szCs w:val="24"/>
        </w:rPr>
        <w:t>ctiv</w:t>
      </w:r>
      <w:r w:rsidR="00447F9E">
        <w:rPr>
          <w:rFonts w:ascii="Times New Roman" w:hAnsi="Times New Roman" w:cs="Times New Roman"/>
          <w:sz w:val="24"/>
          <w:szCs w:val="24"/>
        </w:rPr>
        <w:t>e</w:t>
      </w:r>
      <w:r w:rsidRPr="00172481">
        <w:rPr>
          <w:rFonts w:ascii="Times New Roman" w:hAnsi="Times New Roman" w:cs="Times New Roman"/>
          <w:sz w:val="24"/>
          <w:szCs w:val="24"/>
        </w:rPr>
        <w:t xml:space="preserve">n las emociones </w:t>
      </w:r>
      <w:r w:rsidR="00447F9E">
        <w:rPr>
          <w:rFonts w:ascii="Times New Roman" w:hAnsi="Times New Roman" w:cs="Times New Roman"/>
          <w:sz w:val="24"/>
          <w:szCs w:val="24"/>
        </w:rPr>
        <w:t>y éstas</w:t>
      </w:r>
      <w:r w:rsidRPr="00172481">
        <w:rPr>
          <w:rFonts w:ascii="Times New Roman" w:hAnsi="Times New Roman" w:cs="Times New Roman"/>
          <w:sz w:val="24"/>
          <w:szCs w:val="24"/>
        </w:rPr>
        <w:t xml:space="preserve"> tom</w:t>
      </w:r>
      <w:r w:rsidR="00447F9E">
        <w:rPr>
          <w:rFonts w:ascii="Times New Roman" w:hAnsi="Times New Roman" w:cs="Times New Roman"/>
          <w:sz w:val="24"/>
          <w:szCs w:val="24"/>
        </w:rPr>
        <w:t>en</w:t>
      </w:r>
      <w:r w:rsidRPr="00172481">
        <w:rPr>
          <w:rFonts w:ascii="Times New Roman" w:hAnsi="Times New Roman" w:cs="Times New Roman"/>
          <w:sz w:val="24"/>
          <w:szCs w:val="24"/>
        </w:rPr>
        <w:t xml:space="preserve"> el mando. Durante el sueño</w:t>
      </w:r>
      <w:r w:rsidR="00447F9E">
        <w:rPr>
          <w:rFonts w:ascii="Times New Roman" w:hAnsi="Times New Roman" w:cs="Times New Roman"/>
          <w:sz w:val="24"/>
          <w:szCs w:val="24"/>
        </w:rPr>
        <w:t>,</w:t>
      </w:r>
      <w:r w:rsidRPr="00172481">
        <w:rPr>
          <w:rFonts w:ascii="Times New Roman" w:hAnsi="Times New Roman" w:cs="Times New Roman"/>
          <w:sz w:val="24"/>
          <w:szCs w:val="24"/>
        </w:rPr>
        <w:t xml:space="preserve"> la corteza cerebral no está ocupada y puede repetir fragmentos de experiencias recientes para ayudarlos a convertirse en recuerdos permanentes (Gamon y Bragdon, 2008).</w:t>
      </w:r>
    </w:p>
    <w:p w:rsidR="00172481" w:rsidRPr="00172481" w:rsidRDefault="00172481" w:rsidP="00172481">
      <w:pPr>
        <w:spacing w:after="240" w:line="360" w:lineRule="auto"/>
        <w:jc w:val="both"/>
        <w:rPr>
          <w:rFonts w:ascii="Times New Roman" w:hAnsi="Times New Roman" w:cs="Times New Roman"/>
          <w:sz w:val="24"/>
          <w:szCs w:val="24"/>
        </w:rPr>
      </w:pPr>
      <w:r w:rsidRPr="00172481">
        <w:rPr>
          <w:rFonts w:ascii="Times New Roman" w:hAnsi="Times New Roman" w:cs="Times New Roman"/>
          <w:sz w:val="24"/>
          <w:szCs w:val="24"/>
        </w:rPr>
        <w:t>De este modo, mientras el cerebro se exponga a más experiencias, más ramificaciones enviarán las células desde su axón o dendritas para vincular esas células a tantas otras como sea posible y de ese modo ayudar a resolver problemas en curso (Jones, 2007).</w:t>
      </w:r>
    </w:p>
    <w:p w:rsidR="00172481" w:rsidRPr="00172481" w:rsidRDefault="00172481" w:rsidP="00172481">
      <w:pPr>
        <w:spacing w:after="240" w:line="360" w:lineRule="auto"/>
        <w:jc w:val="both"/>
        <w:rPr>
          <w:rFonts w:ascii="Times New Roman" w:hAnsi="Times New Roman" w:cs="Times New Roman"/>
          <w:sz w:val="24"/>
          <w:szCs w:val="24"/>
        </w:rPr>
      </w:pPr>
      <w:r w:rsidRPr="00172481">
        <w:rPr>
          <w:rFonts w:ascii="Times New Roman" w:hAnsi="Times New Roman" w:cs="Times New Roman"/>
          <w:sz w:val="24"/>
          <w:szCs w:val="24"/>
        </w:rPr>
        <w:t>Al haber más enlaces disponibles, más fácil le será al cerebro poder detectar similitudes entre las partes de una experiencia nueva o de experiencias antiguas que ya conoce. Así el cerebro no tiene que crear nuevos códigos para retener la experiencia reciente, sino sólo las partes desconocidas. En apariencia, mientras el conocimiento aumenta en un individuo es más fácil que continúe aprendiendo, sin embargo, ante todo es primordial prestar atención.</w:t>
      </w:r>
    </w:p>
    <w:p w:rsidR="00172481" w:rsidRPr="00172481" w:rsidRDefault="00172481" w:rsidP="00172481">
      <w:pPr>
        <w:spacing w:after="240" w:line="360" w:lineRule="auto"/>
        <w:jc w:val="both"/>
        <w:rPr>
          <w:rFonts w:ascii="Times New Roman" w:hAnsi="Times New Roman" w:cs="Times New Roman"/>
          <w:sz w:val="24"/>
          <w:szCs w:val="24"/>
        </w:rPr>
      </w:pPr>
    </w:p>
    <w:p w:rsidR="00172481" w:rsidRPr="00172481" w:rsidRDefault="00B51848" w:rsidP="0017248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Por fortuna,</w:t>
      </w:r>
      <w:r w:rsidR="00172481" w:rsidRPr="00172481">
        <w:rPr>
          <w:rFonts w:ascii="Times New Roman" w:hAnsi="Times New Roman" w:cs="Times New Roman"/>
          <w:sz w:val="24"/>
          <w:szCs w:val="24"/>
        </w:rPr>
        <w:t xml:space="preserve"> las experiencias que atentan contra la vida son atendidas minuciosamente</w:t>
      </w:r>
      <w:r w:rsidRPr="00B51848">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172481">
        <w:rPr>
          <w:rFonts w:ascii="Times New Roman" w:hAnsi="Times New Roman" w:cs="Times New Roman"/>
          <w:sz w:val="24"/>
          <w:szCs w:val="24"/>
        </w:rPr>
        <w:t>de forma automática</w:t>
      </w:r>
      <w:r w:rsidR="00172481" w:rsidRPr="00172481">
        <w:rPr>
          <w:rFonts w:ascii="Times New Roman" w:hAnsi="Times New Roman" w:cs="Times New Roman"/>
          <w:sz w:val="24"/>
          <w:szCs w:val="24"/>
        </w:rPr>
        <w:t xml:space="preserve"> por el cerebro, de forma tal que cuando cree que afronta una crisis ignora todo </w:t>
      </w:r>
      <w:r w:rsidR="00CF7427">
        <w:rPr>
          <w:rFonts w:ascii="Times New Roman" w:hAnsi="Times New Roman" w:cs="Times New Roman"/>
          <w:sz w:val="24"/>
          <w:szCs w:val="24"/>
        </w:rPr>
        <w:t xml:space="preserve">el resto de lo </w:t>
      </w:r>
      <w:r w:rsidR="00172481" w:rsidRPr="00172481">
        <w:rPr>
          <w:rFonts w:ascii="Times New Roman" w:hAnsi="Times New Roman" w:cs="Times New Roman"/>
          <w:sz w:val="24"/>
          <w:szCs w:val="24"/>
        </w:rPr>
        <w:t xml:space="preserve">que sucede a su alrededor. </w:t>
      </w:r>
    </w:p>
    <w:p w:rsidR="00172481" w:rsidRPr="00172481" w:rsidRDefault="00172481" w:rsidP="00172481">
      <w:pPr>
        <w:spacing w:after="240" w:line="360" w:lineRule="auto"/>
        <w:jc w:val="both"/>
        <w:rPr>
          <w:rFonts w:ascii="Times New Roman" w:hAnsi="Times New Roman" w:cs="Times New Roman"/>
          <w:sz w:val="24"/>
          <w:szCs w:val="24"/>
        </w:rPr>
      </w:pPr>
      <w:r w:rsidRPr="00172481">
        <w:rPr>
          <w:rFonts w:ascii="Times New Roman" w:hAnsi="Times New Roman" w:cs="Times New Roman"/>
          <w:sz w:val="24"/>
          <w:szCs w:val="24"/>
        </w:rPr>
        <w:t xml:space="preserve">Al utilizar el sistema de memoria a corto plazo para recordar el nombre de una persona se tiene que hacer un esfuerzo. </w:t>
      </w:r>
      <w:r w:rsidR="009A7907">
        <w:rPr>
          <w:rFonts w:ascii="Times New Roman" w:hAnsi="Times New Roman" w:cs="Times New Roman"/>
          <w:sz w:val="24"/>
          <w:szCs w:val="24"/>
        </w:rPr>
        <w:t xml:space="preserve">Incluso </w:t>
      </w:r>
      <w:r w:rsidRPr="00172481">
        <w:rPr>
          <w:rFonts w:ascii="Times New Roman" w:hAnsi="Times New Roman" w:cs="Times New Roman"/>
          <w:sz w:val="24"/>
          <w:szCs w:val="24"/>
        </w:rPr>
        <w:t xml:space="preserve">al buscar un número telefónico antes de marcarlo es necesario concentrarse para almacenarlo en la memoria inmediata, aunque no se necesite ensayarlo de manera consciente ni compararlo con otra información. </w:t>
      </w:r>
    </w:p>
    <w:p w:rsidR="00172481" w:rsidRPr="00172481" w:rsidRDefault="00172481" w:rsidP="00172481">
      <w:pPr>
        <w:spacing w:after="240" w:line="360" w:lineRule="auto"/>
        <w:jc w:val="both"/>
        <w:rPr>
          <w:rFonts w:ascii="Times New Roman" w:hAnsi="Times New Roman" w:cs="Times New Roman"/>
          <w:sz w:val="24"/>
          <w:szCs w:val="24"/>
        </w:rPr>
      </w:pPr>
      <w:r w:rsidRPr="00172481">
        <w:rPr>
          <w:rFonts w:ascii="Times New Roman" w:hAnsi="Times New Roman" w:cs="Times New Roman"/>
          <w:sz w:val="24"/>
          <w:szCs w:val="24"/>
        </w:rPr>
        <w:t xml:space="preserve">La memoria a corto plazo se llama memoria funcional. </w:t>
      </w:r>
      <w:r w:rsidR="009A7907">
        <w:rPr>
          <w:rFonts w:ascii="Times New Roman" w:hAnsi="Times New Roman" w:cs="Times New Roman"/>
          <w:sz w:val="24"/>
          <w:szCs w:val="24"/>
        </w:rPr>
        <w:t>Cuando se envejece</w:t>
      </w:r>
      <w:r w:rsidRPr="00172481">
        <w:rPr>
          <w:rFonts w:ascii="Times New Roman" w:hAnsi="Times New Roman" w:cs="Times New Roman"/>
          <w:sz w:val="24"/>
          <w:szCs w:val="24"/>
        </w:rPr>
        <w:t xml:space="preserve"> la memoria funcional se deteriora. Los hechos almacenados a corto plazo por lo general se olvidan, pero pueden transferirse a la memoria </w:t>
      </w:r>
      <w:r w:rsidR="009A7907">
        <w:rPr>
          <w:rFonts w:ascii="Times New Roman" w:hAnsi="Times New Roman" w:cs="Times New Roman"/>
          <w:sz w:val="24"/>
          <w:szCs w:val="24"/>
        </w:rPr>
        <w:t>de</w:t>
      </w:r>
      <w:r w:rsidRPr="00172481">
        <w:rPr>
          <w:rFonts w:ascii="Times New Roman" w:hAnsi="Times New Roman" w:cs="Times New Roman"/>
          <w:sz w:val="24"/>
          <w:szCs w:val="24"/>
        </w:rPr>
        <w:t xml:space="preserve"> largo plazo para que perduren más (Gamon y Bragdon, 2008).</w:t>
      </w:r>
    </w:p>
    <w:p w:rsidR="00172481" w:rsidRPr="00172481" w:rsidRDefault="00172481" w:rsidP="00172481">
      <w:pPr>
        <w:spacing w:after="240" w:line="360" w:lineRule="auto"/>
        <w:jc w:val="both"/>
        <w:rPr>
          <w:rFonts w:ascii="Times New Roman" w:hAnsi="Times New Roman" w:cs="Times New Roman"/>
          <w:sz w:val="24"/>
          <w:szCs w:val="24"/>
        </w:rPr>
      </w:pPr>
      <w:r w:rsidRPr="00172481">
        <w:rPr>
          <w:rFonts w:ascii="Times New Roman" w:hAnsi="Times New Roman" w:cs="Times New Roman"/>
          <w:sz w:val="24"/>
          <w:szCs w:val="24"/>
        </w:rPr>
        <w:t xml:space="preserve">La tecnología IRM (Imagen de Resonancia Magnética) ha permitido localizar en qué parte del cerebro están activas las diferentes clases de memoria funcional, espacial, objetiva, verbal, </w:t>
      </w:r>
      <w:r w:rsidR="00200BDB">
        <w:rPr>
          <w:rFonts w:ascii="Times New Roman" w:hAnsi="Times New Roman" w:cs="Times New Roman"/>
          <w:sz w:val="24"/>
          <w:szCs w:val="24"/>
        </w:rPr>
        <w:t xml:space="preserve">y </w:t>
      </w:r>
      <w:r w:rsidRPr="00172481">
        <w:rPr>
          <w:rFonts w:ascii="Times New Roman" w:hAnsi="Times New Roman" w:cs="Times New Roman"/>
          <w:sz w:val="24"/>
          <w:szCs w:val="24"/>
        </w:rPr>
        <w:t>de razonamiento analítico. El cerebro busca en la memoria a largo plazo la información que necesita para razonar y para compararla con otros datos. Este trabajo se realiza en una de las partes de un sector que se extiende a lo largo de la parte delantera del cerebro, sobre las cejas (</w:t>
      </w:r>
      <w:proofErr w:type="spellStart"/>
      <w:r w:rsidRPr="00172481">
        <w:rPr>
          <w:rFonts w:ascii="Times New Roman" w:hAnsi="Times New Roman" w:cs="Times New Roman"/>
          <w:sz w:val="24"/>
          <w:szCs w:val="24"/>
        </w:rPr>
        <w:t>Duyn</w:t>
      </w:r>
      <w:proofErr w:type="spellEnd"/>
      <w:r w:rsidRPr="00172481">
        <w:rPr>
          <w:rFonts w:ascii="Times New Roman" w:hAnsi="Times New Roman" w:cs="Times New Roman"/>
          <w:sz w:val="24"/>
          <w:szCs w:val="24"/>
        </w:rPr>
        <w:t xml:space="preserve"> et al., 2006).</w:t>
      </w:r>
    </w:p>
    <w:p w:rsidR="00D407F7" w:rsidRDefault="00172481" w:rsidP="0017248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Por otro lado, en cuanto a la capacidad cerebral existen ejemplos muy bien caracterizados desde muy temprana edad en los seres humanos, por ejemplo, nueve meses después de su nacimiento, un bebé superará intelectualmente a cualquier primate de edad adulta que sea diferente a la especie humana, </w:t>
      </w:r>
      <w:r w:rsidR="00200BDB">
        <w:rPr>
          <w:rFonts w:ascii="Times New Roman" w:hAnsi="Times New Roman" w:cs="Times New Roman"/>
          <w:sz w:val="24"/>
          <w:szCs w:val="24"/>
        </w:rPr>
        <w:t xml:space="preserve">y </w:t>
      </w:r>
      <w:r>
        <w:rPr>
          <w:rFonts w:ascii="Times New Roman" w:hAnsi="Times New Roman" w:cs="Times New Roman"/>
          <w:sz w:val="24"/>
          <w:szCs w:val="24"/>
        </w:rPr>
        <w:t>más adelante, cuando inicie su preparación académica, habrá dominado por sí mismo las habilidades que ni la tecnología ni muchos adultos serán capaces de imitar, la fluidez en su lengua materna y la extraordinaria capacidad para reconocer caras</w:t>
      </w:r>
      <w:r w:rsidR="00200BDB">
        <w:rPr>
          <w:rFonts w:ascii="Times New Roman" w:hAnsi="Times New Roman" w:cs="Times New Roman"/>
          <w:sz w:val="24"/>
          <w:szCs w:val="24"/>
        </w:rPr>
        <w:t>,</w:t>
      </w:r>
      <w:r>
        <w:rPr>
          <w:rFonts w:ascii="Times New Roman" w:hAnsi="Times New Roman" w:cs="Times New Roman"/>
          <w:sz w:val="24"/>
          <w:szCs w:val="24"/>
        </w:rPr>
        <w:t xml:space="preserve"> por sólo citar dos ejemplos (</w:t>
      </w:r>
      <w:r w:rsidR="00D407F7">
        <w:rPr>
          <w:rFonts w:ascii="Times New Roman" w:hAnsi="Times New Roman" w:cs="Times New Roman"/>
          <w:sz w:val="24"/>
          <w:szCs w:val="24"/>
        </w:rPr>
        <w:t>Gamon y Bragdon, 2006</w:t>
      </w:r>
      <w:r>
        <w:rPr>
          <w:rFonts w:ascii="Times New Roman" w:hAnsi="Times New Roman" w:cs="Times New Roman"/>
          <w:sz w:val="24"/>
          <w:szCs w:val="24"/>
        </w:rPr>
        <w:t>)</w:t>
      </w:r>
      <w:r w:rsidR="00D407F7">
        <w:rPr>
          <w:rFonts w:ascii="Times New Roman" w:hAnsi="Times New Roman" w:cs="Times New Roman"/>
          <w:sz w:val="24"/>
          <w:szCs w:val="24"/>
        </w:rPr>
        <w:t>.</w:t>
      </w:r>
    </w:p>
    <w:p w:rsidR="00C76DC9" w:rsidRDefault="00C76DC9" w:rsidP="0017248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 gran capacidad de la mente humana se pone de manifiesto incluso en varias aplicaciones electrónicas, donde los avances de la ingeniería de sistemas han generado aplicaciones a través de interfaces de computadora cerebrales (Kataona y Kovari, 2016).</w:t>
      </w:r>
    </w:p>
    <w:p w:rsidR="00172481" w:rsidRDefault="00D407F7" w:rsidP="0017248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El cerebro es como un músculo y en ese sentido mientras más se ejercite mejores resultados dará. Al memorizar más cosas, aumentará la capacidad de recordar, y no sólo eso, sino que su uso correcto influye directamente en el cuerpo humano. Es importante aprender cómo utilizar y potenciar el cerebro para tener más energía, reforzar el corazón, mejorar la piel, adelgazar y concentrarse mejor (Amen, 2010).</w:t>
      </w:r>
    </w:p>
    <w:p w:rsidR="00D407F7" w:rsidRDefault="00D407F7" w:rsidP="0017248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La memoria es una parte imprescindible en la vida del ser humano, si un hombre común la perdiera por completo tendría que comenzar todo desde el principio, justo como un bebé no recordaría cómo vestirse, peinarse, conducir su automóvil o incluso cómo utilizar un cuchillo o un tenedor, de modo que todas las cosas que se atribuyen al hábito deberían ser atribuidas a la memoria. </w:t>
      </w:r>
    </w:p>
    <w:p w:rsidR="00D407F7" w:rsidRDefault="00D407F7" w:rsidP="0017248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la actualidad se da mucha importancia a los procedimientos, la socio construcción del conocimiento y a la meta cognición, pero para llegar a ese punto es necesario memorizar muchas cosas, las cuales son el fundamento para alcanzar posteriormente la comprensión de la ciencia y la tecnología e impactar en el desarrollo del mundo moderno.</w:t>
      </w:r>
    </w:p>
    <w:p w:rsidR="00D407F7" w:rsidRPr="00B022CC" w:rsidRDefault="00D407F7" w:rsidP="0017248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No existe manera de intelectualizar la capital de un estado o el principal producto de exportación de un país, o se sabe o no se sabe</w:t>
      </w:r>
      <w:r w:rsidR="00C807DA">
        <w:rPr>
          <w:rFonts w:ascii="Times New Roman" w:hAnsi="Times New Roman" w:cs="Times New Roman"/>
          <w:sz w:val="24"/>
          <w:szCs w:val="24"/>
        </w:rPr>
        <w:t>. L</w:t>
      </w:r>
      <w:r>
        <w:rPr>
          <w:rFonts w:ascii="Times New Roman" w:hAnsi="Times New Roman" w:cs="Times New Roman"/>
          <w:sz w:val="24"/>
          <w:szCs w:val="24"/>
        </w:rPr>
        <w:t xml:space="preserve">a importancia de la memoria es </w:t>
      </w:r>
      <w:r w:rsidR="00C807DA">
        <w:rPr>
          <w:rFonts w:ascii="Times New Roman" w:hAnsi="Times New Roman" w:cs="Times New Roman"/>
          <w:sz w:val="24"/>
          <w:szCs w:val="24"/>
        </w:rPr>
        <w:t xml:space="preserve">clave </w:t>
      </w:r>
      <w:r>
        <w:rPr>
          <w:rFonts w:ascii="Times New Roman" w:hAnsi="Times New Roman" w:cs="Times New Roman"/>
          <w:sz w:val="24"/>
          <w:szCs w:val="24"/>
        </w:rPr>
        <w:t xml:space="preserve">en el mundo </w:t>
      </w:r>
      <w:r w:rsidR="00C807DA">
        <w:rPr>
          <w:rFonts w:ascii="Times New Roman" w:hAnsi="Times New Roman" w:cs="Times New Roman"/>
          <w:sz w:val="24"/>
          <w:szCs w:val="24"/>
        </w:rPr>
        <w:t>ya que</w:t>
      </w:r>
      <w:r>
        <w:rPr>
          <w:rFonts w:ascii="Times New Roman" w:hAnsi="Times New Roman" w:cs="Times New Roman"/>
          <w:sz w:val="24"/>
          <w:szCs w:val="24"/>
        </w:rPr>
        <w:t xml:space="preserve"> </w:t>
      </w:r>
      <w:r w:rsidR="00C807DA">
        <w:rPr>
          <w:rFonts w:ascii="Times New Roman" w:hAnsi="Times New Roman" w:cs="Times New Roman"/>
          <w:sz w:val="24"/>
          <w:szCs w:val="24"/>
        </w:rPr>
        <w:t>influye en</w:t>
      </w:r>
      <w:r>
        <w:rPr>
          <w:rFonts w:ascii="Times New Roman" w:hAnsi="Times New Roman" w:cs="Times New Roman"/>
          <w:sz w:val="24"/>
          <w:szCs w:val="24"/>
        </w:rPr>
        <w:t xml:space="preserve"> los hombres y su desempeño en la sociedad</w:t>
      </w:r>
      <w:r w:rsidR="00C807DA">
        <w:rPr>
          <w:rFonts w:ascii="Times New Roman" w:hAnsi="Times New Roman" w:cs="Times New Roman"/>
          <w:sz w:val="24"/>
          <w:szCs w:val="24"/>
        </w:rPr>
        <w:t>, lo que</w:t>
      </w:r>
      <w:r w:rsidR="00CA677E">
        <w:rPr>
          <w:rFonts w:ascii="Times New Roman" w:hAnsi="Times New Roman" w:cs="Times New Roman"/>
          <w:sz w:val="24"/>
          <w:szCs w:val="24"/>
        </w:rPr>
        <w:t xml:space="preserve"> </w:t>
      </w:r>
      <w:r>
        <w:rPr>
          <w:rFonts w:ascii="Times New Roman" w:hAnsi="Times New Roman" w:cs="Times New Roman"/>
          <w:sz w:val="24"/>
          <w:szCs w:val="24"/>
        </w:rPr>
        <w:t>transforma sus vidas y cambia sus destinos (</w:t>
      </w:r>
      <w:proofErr w:type="spellStart"/>
      <w:r>
        <w:rPr>
          <w:rFonts w:ascii="Times New Roman" w:hAnsi="Times New Roman" w:cs="Times New Roman"/>
          <w:sz w:val="24"/>
          <w:szCs w:val="24"/>
        </w:rPr>
        <w:t>Lorayne</w:t>
      </w:r>
      <w:proofErr w:type="spellEnd"/>
      <w:r>
        <w:rPr>
          <w:rFonts w:ascii="Times New Roman" w:hAnsi="Times New Roman" w:cs="Times New Roman"/>
          <w:sz w:val="24"/>
          <w:szCs w:val="24"/>
        </w:rPr>
        <w:t xml:space="preserve">, 2011).  </w:t>
      </w:r>
    </w:p>
    <w:p w:rsidR="000D47A3" w:rsidRDefault="00D407F7" w:rsidP="0017248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Dada la importancia de la memoria es imprescindib</w:t>
      </w:r>
      <w:r w:rsidR="000D47A3">
        <w:rPr>
          <w:rFonts w:ascii="Times New Roman" w:hAnsi="Times New Roman" w:cs="Times New Roman"/>
          <w:sz w:val="24"/>
          <w:szCs w:val="24"/>
        </w:rPr>
        <w:t>le cultivarla, y en este punt</w:t>
      </w:r>
      <w:r>
        <w:rPr>
          <w:rFonts w:ascii="Times New Roman" w:hAnsi="Times New Roman" w:cs="Times New Roman"/>
          <w:sz w:val="24"/>
          <w:szCs w:val="24"/>
        </w:rPr>
        <w:t xml:space="preserve">o en donde emerge </w:t>
      </w:r>
      <w:r w:rsidR="000D47A3">
        <w:rPr>
          <w:rFonts w:ascii="Times New Roman" w:hAnsi="Times New Roman" w:cs="Times New Roman"/>
          <w:sz w:val="24"/>
          <w:szCs w:val="24"/>
        </w:rPr>
        <w:t xml:space="preserve">en </w:t>
      </w:r>
      <w:r>
        <w:rPr>
          <w:rFonts w:ascii="Times New Roman" w:hAnsi="Times New Roman" w:cs="Times New Roman"/>
          <w:sz w:val="24"/>
          <w:szCs w:val="24"/>
        </w:rPr>
        <w:t>el escenario</w:t>
      </w:r>
      <w:r w:rsidR="000D47A3">
        <w:rPr>
          <w:rFonts w:ascii="Times New Roman" w:hAnsi="Times New Roman" w:cs="Times New Roman"/>
          <w:sz w:val="24"/>
          <w:szCs w:val="24"/>
        </w:rPr>
        <w:t xml:space="preserve"> la palabra mnemotecnia</w:t>
      </w:r>
      <w:r w:rsidR="00C807DA">
        <w:rPr>
          <w:rFonts w:ascii="Times New Roman" w:hAnsi="Times New Roman" w:cs="Times New Roman"/>
          <w:sz w:val="24"/>
          <w:szCs w:val="24"/>
        </w:rPr>
        <w:t xml:space="preserve"> (proveniente </w:t>
      </w:r>
      <w:r w:rsidR="000D47A3">
        <w:rPr>
          <w:rFonts w:ascii="Times New Roman" w:hAnsi="Times New Roman" w:cs="Times New Roman"/>
          <w:sz w:val="24"/>
          <w:szCs w:val="24"/>
        </w:rPr>
        <w:t>de</w:t>
      </w:r>
      <w:r w:rsidR="00C807DA">
        <w:rPr>
          <w:rFonts w:ascii="Times New Roman" w:hAnsi="Times New Roman" w:cs="Times New Roman"/>
          <w:sz w:val="24"/>
          <w:szCs w:val="24"/>
        </w:rPr>
        <w:t xml:space="preserve">l nombre de </w:t>
      </w:r>
      <w:r w:rsidR="000D47A3">
        <w:rPr>
          <w:rFonts w:ascii="Times New Roman" w:hAnsi="Times New Roman" w:cs="Times New Roman"/>
          <w:sz w:val="24"/>
          <w:szCs w:val="24"/>
        </w:rPr>
        <w:t>la diosa griega Mnemosine</w:t>
      </w:r>
      <w:r w:rsidR="00C807DA">
        <w:rPr>
          <w:rFonts w:ascii="Times New Roman" w:hAnsi="Times New Roman" w:cs="Times New Roman"/>
          <w:sz w:val="24"/>
          <w:szCs w:val="24"/>
        </w:rPr>
        <w:t>) y que</w:t>
      </w:r>
      <w:r w:rsidR="000D47A3">
        <w:rPr>
          <w:rFonts w:ascii="Times New Roman" w:hAnsi="Times New Roman" w:cs="Times New Roman"/>
          <w:sz w:val="24"/>
          <w:szCs w:val="24"/>
        </w:rPr>
        <w:t xml:space="preserve"> constituye una parte fundamental de la memoria entrenada; también se sabe que los primeros sistemas de mnemotecnia fueron utilizados desde la época de los griegos.</w:t>
      </w:r>
    </w:p>
    <w:p w:rsidR="000D47A3" w:rsidRDefault="000D47A3" w:rsidP="0017248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En esencia</w:t>
      </w:r>
      <w:r w:rsidR="00C807DA">
        <w:rPr>
          <w:rFonts w:ascii="Times New Roman" w:hAnsi="Times New Roman" w:cs="Times New Roman"/>
          <w:sz w:val="24"/>
          <w:szCs w:val="24"/>
        </w:rPr>
        <w:t>,</w:t>
      </w:r>
      <w:r>
        <w:rPr>
          <w:rFonts w:ascii="Times New Roman" w:hAnsi="Times New Roman" w:cs="Times New Roman"/>
          <w:sz w:val="24"/>
          <w:szCs w:val="24"/>
        </w:rPr>
        <w:t xml:space="preserve"> la mnemotecnia es un procedimiento de asociación mental cuyo propósito es facilitar el recuerdo de algo (RAE, 2016). En las escuelas por lo regular se aprende y memoriza de manera lógica y articulada, pero para promover la memorización de los elementos, la mnemotecnia sugiere el uso de relaciones estrambóticas e ilógicas. Este principio permite que los recuerdos sean mucho más sólidos y perdurables.</w:t>
      </w:r>
    </w:p>
    <w:p w:rsidR="000D47A3" w:rsidRDefault="000D47A3" w:rsidP="0017248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El uso de esta técnica ha permitido las proezas más grandes en este campo, </w:t>
      </w:r>
      <w:r w:rsidR="00C807DA">
        <w:rPr>
          <w:rFonts w:ascii="Times New Roman" w:hAnsi="Times New Roman" w:cs="Times New Roman"/>
          <w:sz w:val="24"/>
          <w:szCs w:val="24"/>
        </w:rPr>
        <w:t xml:space="preserve">por ejemplo, </w:t>
      </w:r>
      <w:r>
        <w:rPr>
          <w:rFonts w:ascii="Times New Roman" w:hAnsi="Times New Roman" w:cs="Times New Roman"/>
          <w:sz w:val="24"/>
          <w:szCs w:val="24"/>
        </w:rPr>
        <w:t xml:space="preserve">Lucio era capaz de recordar los nombres de toda la </w:t>
      </w:r>
      <w:r w:rsidR="00C807DA">
        <w:rPr>
          <w:rFonts w:ascii="Times New Roman" w:hAnsi="Times New Roman" w:cs="Times New Roman"/>
          <w:sz w:val="24"/>
          <w:szCs w:val="24"/>
        </w:rPr>
        <w:t>población</w:t>
      </w:r>
      <w:r>
        <w:rPr>
          <w:rFonts w:ascii="Times New Roman" w:hAnsi="Times New Roman" w:cs="Times New Roman"/>
          <w:sz w:val="24"/>
          <w:szCs w:val="24"/>
        </w:rPr>
        <w:t xml:space="preserve"> de Roma, Ciro podía llamar a todos los soldados de su ejército por su nombre </w:t>
      </w:r>
      <w:r w:rsidR="00C807DA">
        <w:rPr>
          <w:rFonts w:ascii="Times New Roman" w:hAnsi="Times New Roman" w:cs="Times New Roman"/>
          <w:sz w:val="24"/>
          <w:szCs w:val="24"/>
        </w:rPr>
        <w:t>y</w:t>
      </w:r>
      <w:r>
        <w:rPr>
          <w:rFonts w:ascii="Times New Roman" w:hAnsi="Times New Roman" w:cs="Times New Roman"/>
          <w:sz w:val="24"/>
          <w:szCs w:val="24"/>
        </w:rPr>
        <w:t xml:space="preserve"> Séneca era capaz </w:t>
      </w:r>
      <w:r w:rsidR="00C807DA">
        <w:rPr>
          <w:rFonts w:ascii="Times New Roman" w:hAnsi="Times New Roman" w:cs="Times New Roman"/>
          <w:sz w:val="24"/>
          <w:szCs w:val="24"/>
        </w:rPr>
        <w:t xml:space="preserve">de </w:t>
      </w:r>
      <w:r>
        <w:rPr>
          <w:rFonts w:ascii="Times New Roman" w:hAnsi="Times New Roman" w:cs="Times New Roman"/>
          <w:sz w:val="24"/>
          <w:szCs w:val="24"/>
        </w:rPr>
        <w:t>recitar dos mil palabras después de haberlas escu</w:t>
      </w:r>
      <w:r w:rsidR="00DA2EDB">
        <w:rPr>
          <w:rFonts w:ascii="Times New Roman" w:hAnsi="Times New Roman" w:cs="Times New Roman"/>
          <w:sz w:val="24"/>
          <w:szCs w:val="24"/>
        </w:rPr>
        <w:t>chado una sola vez (Lorayne, 199</w:t>
      </w:r>
      <w:r>
        <w:rPr>
          <w:rFonts w:ascii="Times New Roman" w:hAnsi="Times New Roman" w:cs="Times New Roman"/>
          <w:sz w:val="24"/>
          <w:szCs w:val="24"/>
        </w:rPr>
        <w:t>5).</w:t>
      </w:r>
    </w:p>
    <w:p w:rsidR="00FF1E37" w:rsidRDefault="00292500" w:rsidP="0017248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Otr</w:t>
      </w:r>
      <w:r w:rsidR="00C807DA">
        <w:rPr>
          <w:rFonts w:ascii="Times New Roman" w:hAnsi="Times New Roman" w:cs="Times New Roman"/>
          <w:sz w:val="24"/>
          <w:szCs w:val="24"/>
        </w:rPr>
        <w:t xml:space="preserve">a ventaja </w:t>
      </w:r>
      <w:r>
        <w:rPr>
          <w:rFonts w:ascii="Times New Roman" w:hAnsi="Times New Roman" w:cs="Times New Roman"/>
          <w:sz w:val="24"/>
          <w:szCs w:val="24"/>
        </w:rPr>
        <w:t>del uso inteligente de la memoria es que conduce a una satisfacción no sólo intelectual sino también personal</w:t>
      </w:r>
      <w:r w:rsidR="00C807DA">
        <w:rPr>
          <w:rFonts w:ascii="Times New Roman" w:hAnsi="Times New Roman" w:cs="Times New Roman"/>
          <w:sz w:val="24"/>
          <w:szCs w:val="24"/>
        </w:rPr>
        <w:t>. E</w:t>
      </w:r>
      <w:r>
        <w:rPr>
          <w:rFonts w:ascii="Times New Roman" w:hAnsi="Times New Roman" w:cs="Times New Roman"/>
          <w:sz w:val="24"/>
          <w:szCs w:val="24"/>
        </w:rPr>
        <w:t xml:space="preserve">l sentir "Yo estoy bien </w:t>
      </w:r>
      <w:r w:rsidR="00C807DA">
        <w:rPr>
          <w:rFonts w:ascii="Times New Roman" w:hAnsi="Times New Roman" w:cs="Times New Roman"/>
          <w:sz w:val="24"/>
          <w:szCs w:val="24"/>
        </w:rPr>
        <w:t>/</w:t>
      </w:r>
      <w:r>
        <w:rPr>
          <w:rFonts w:ascii="Times New Roman" w:hAnsi="Times New Roman" w:cs="Times New Roman"/>
          <w:sz w:val="24"/>
          <w:szCs w:val="24"/>
        </w:rPr>
        <w:t xml:space="preserve"> Tú estás bien"</w:t>
      </w:r>
      <w:r w:rsidR="000D47A3">
        <w:rPr>
          <w:rFonts w:ascii="Times New Roman" w:hAnsi="Times New Roman" w:cs="Times New Roman"/>
          <w:sz w:val="24"/>
          <w:szCs w:val="24"/>
        </w:rPr>
        <w:t xml:space="preserve"> </w:t>
      </w:r>
      <w:r>
        <w:rPr>
          <w:rFonts w:ascii="Times New Roman" w:hAnsi="Times New Roman" w:cs="Times New Roman"/>
          <w:sz w:val="24"/>
          <w:szCs w:val="24"/>
        </w:rPr>
        <w:t>no es algo que se dé por sí solo</w:t>
      </w:r>
      <w:r w:rsidR="00C807DA">
        <w:rPr>
          <w:rFonts w:ascii="Times New Roman" w:hAnsi="Times New Roman" w:cs="Times New Roman"/>
          <w:sz w:val="24"/>
          <w:szCs w:val="24"/>
        </w:rPr>
        <w:t>;</w:t>
      </w:r>
      <w:r>
        <w:rPr>
          <w:rFonts w:ascii="Times New Roman" w:hAnsi="Times New Roman" w:cs="Times New Roman"/>
          <w:sz w:val="24"/>
          <w:szCs w:val="24"/>
        </w:rPr>
        <w:t xml:space="preserve"> en ocasiones se puede experimentar, pero para que </w:t>
      </w:r>
      <w:r w:rsidR="00763981">
        <w:rPr>
          <w:rFonts w:ascii="Times New Roman" w:hAnsi="Times New Roman" w:cs="Times New Roman"/>
          <w:sz w:val="24"/>
          <w:szCs w:val="24"/>
        </w:rPr>
        <w:t xml:space="preserve">se </w:t>
      </w:r>
      <w:r>
        <w:rPr>
          <w:rFonts w:ascii="Times New Roman" w:hAnsi="Times New Roman" w:cs="Times New Roman"/>
          <w:sz w:val="24"/>
          <w:szCs w:val="24"/>
        </w:rPr>
        <w:t xml:space="preserve">arraigue en mayor o menor medida debe ser una decisión consciente. </w:t>
      </w:r>
    </w:p>
    <w:p w:rsidR="00B022CC" w:rsidRPr="00B022CC" w:rsidRDefault="00292500" w:rsidP="0017248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 voluntad de permitir que nuestra voz interior se revele tomando el papel del actor principal forma parte del des</w:t>
      </w:r>
      <w:r w:rsidR="00763981">
        <w:rPr>
          <w:rFonts w:ascii="Times New Roman" w:hAnsi="Times New Roman" w:cs="Times New Roman"/>
          <w:sz w:val="24"/>
          <w:szCs w:val="24"/>
        </w:rPr>
        <w:t>arrollo de cualquier ser humano, mientras que l</w:t>
      </w:r>
      <w:r>
        <w:rPr>
          <w:rFonts w:ascii="Times New Roman" w:hAnsi="Times New Roman" w:cs="Times New Roman"/>
          <w:sz w:val="24"/>
          <w:szCs w:val="24"/>
        </w:rPr>
        <w:t xml:space="preserve">a confianza desarrollada por la memoria y el énfasis de los recuerdos </w:t>
      </w:r>
      <w:r w:rsidR="00763981">
        <w:rPr>
          <w:rFonts w:ascii="Times New Roman" w:hAnsi="Times New Roman" w:cs="Times New Roman"/>
          <w:sz w:val="24"/>
          <w:szCs w:val="24"/>
        </w:rPr>
        <w:t>constituyen</w:t>
      </w:r>
      <w:r>
        <w:rPr>
          <w:rFonts w:ascii="Times New Roman" w:hAnsi="Times New Roman" w:cs="Times New Roman"/>
          <w:sz w:val="24"/>
          <w:szCs w:val="24"/>
        </w:rPr>
        <w:t xml:space="preserve"> una clave para salir de la prisión mental en la que muchos se encuentran (Butler, 2007).</w:t>
      </w:r>
    </w:p>
    <w:p w:rsidR="009E59D0" w:rsidRPr="00FD5924" w:rsidRDefault="009E59D0" w:rsidP="009E59D0">
      <w:pPr>
        <w:spacing w:before="120" w:after="240" w:line="36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Metodología</w:t>
      </w:r>
    </w:p>
    <w:p w:rsidR="004C743B" w:rsidRDefault="004C743B" w:rsidP="009E59D0">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primer paso fue analizar qué características debería tener el método de enseñanza aprendizaje propuesto para estimular específicamente la comprensión de conceptos y desempeño académico del estudiante, estas características están constituidas por una serie de mecanismos que llevan implícita la construcción de </w:t>
      </w:r>
      <w:r w:rsidR="00F06F6B">
        <w:rPr>
          <w:rFonts w:ascii="Times New Roman" w:hAnsi="Times New Roman" w:cs="Times New Roman"/>
          <w:sz w:val="24"/>
          <w:szCs w:val="24"/>
        </w:rPr>
        <w:t xml:space="preserve">los </w:t>
      </w:r>
      <w:r>
        <w:rPr>
          <w:rFonts w:ascii="Times New Roman" w:hAnsi="Times New Roman" w:cs="Times New Roman"/>
          <w:sz w:val="24"/>
          <w:szCs w:val="24"/>
        </w:rPr>
        <w:t xml:space="preserve">conocimientos </w:t>
      </w:r>
      <w:r w:rsidR="00B408ED">
        <w:rPr>
          <w:rFonts w:ascii="Times New Roman" w:hAnsi="Times New Roman" w:cs="Times New Roman"/>
          <w:sz w:val="24"/>
          <w:szCs w:val="24"/>
        </w:rPr>
        <w:t>a partir de</w:t>
      </w:r>
      <w:r w:rsidR="00F06F6B">
        <w:rPr>
          <w:rFonts w:ascii="Times New Roman" w:hAnsi="Times New Roman" w:cs="Times New Roman"/>
          <w:sz w:val="24"/>
          <w:szCs w:val="24"/>
        </w:rPr>
        <w:t xml:space="preserve"> la relación con ideas más simples, las cuales se deben dar en un ambiente agradable e incluso lúdico, donde el pensamiento y la estimulación sean el punto de partida para la memorización de los conceptos (Chamorro, 2005).</w:t>
      </w:r>
    </w:p>
    <w:p w:rsidR="00FF1E37" w:rsidRDefault="00B51848" w:rsidP="009E59D0">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El siguiente paso fue desarrollar un conjunto de relaciones estrambóticas y aparentemente absurdas que permitieran recordar fácilmente los conceptos, estableciendo apropiadamente la idea central de la relación en función de los términos utilizados. </w:t>
      </w:r>
      <w:r w:rsidR="00B408ED">
        <w:rPr>
          <w:rFonts w:ascii="Times New Roman" w:hAnsi="Times New Roman" w:cs="Times New Roman"/>
          <w:sz w:val="24"/>
          <w:szCs w:val="24"/>
        </w:rPr>
        <w:t>Según</w:t>
      </w:r>
      <w:r>
        <w:rPr>
          <w:rFonts w:ascii="Times New Roman" w:hAnsi="Times New Roman" w:cs="Times New Roman"/>
          <w:sz w:val="24"/>
          <w:szCs w:val="24"/>
        </w:rPr>
        <w:t xml:space="preserve"> Harry </w:t>
      </w:r>
      <w:proofErr w:type="spellStart"/>
      <w:r>
        <w:rPr>
          <w:rFonts w:ascii="Times New Roman" w:hAnsi="Times New Roman" w:cs="Times New Roman"/>
          <w:sz w:val="24"/>
          <w:szCs w:val="24"/>
        </w:rPr>
        <w:t>Lorayne</w:t>
      </w:r>
      <w:proofErr w:type="spellEnd"/>
      <w:r>
        <w:rPr>
          <w:rFonts w:ascii="Times New Roman" w:hAnsi="Times New Roman" w:cs="Times New Roman"/>
          <w:sz w:val="24"/>
          <w:szCs w:val="24"/>
        </w:rPr>
        <w:t xml:space="preserve"> (1995), las relaciones deben fluir de forma natural, de manera que generen asociaciones que sean fácilmente identificables por el alumno</w:t>
      </w:r>
      <w:r w:rsidR="00B408ED">
        <w:rPr>
          <w:rFonts w:ascii="Times New Roman" w:hAnsi="Times New Roman" w:cs="Times New Roman"/>
          <w:sz w:val="24"/>
          <w:szCs w:val="24"/>
        </w:rPr>
        <w:t xml:space="preserve"> y, por tanto,</w:t>
      </w:r>
      <w:r>
        <w:rPr>
          <w:rFonts w:ascii="Times New Roman" w:hAnsi="Times New Roman" w:cs="Times New Roman"/>
          <w:sz w:val="24"/>
          <w:szCs w:val="24"/>
        </w:rPr>
        <w:t xml:space="preserve"> salten a la vista de forma inmediata. </w:t>
      </w:r>
    </w:p>
    <w:p w:rsidR="00B51848" w:rsidRDefault="00B51848" w:rsidP="009E59D0">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De este modo se hicieron las propuestas </w:t>
      </w:r>
      <w:r w:rsidR="00FF1E37">
        <w:rPr>
          <w:rFonts w:ascii="Times New Roman" w:hAnsi="Times New Roman" w:cs="Times New Roman"/>
          <w:sz w:val="24"/>
          <w:szCs w:val="24"/>
        </w:rPr>
        <w:t>de relación entre números y colores, tomando como base</w:t>
      </w:r>
      <w:r>
        <w:rPr>
          <w:rFonts w:ascii="Times New Roman" w:hAnsi="Times New Roman" w:cs="Times New Roman"/>
          <w:sz w:val="24"/>
          <w:szCs w:val="24"/>
        </w:rPr>
        <w:t xml:space="preserve"> los aspectos de interés de los estudiantes</w:t>
      </w:r>
      <w:r w:rsidR="00FF1E37">
        <w:rPr>
          <w:rFonts w:ascii="Times New Roman" w:hAnsi="Times New Roman" w:cs="Times New Roman"/>
          <w:sz w:val="24"/>
          <w:szCs w:val="24"/>
        </w:rPr>
        <w:t xml:space="preserve">, tales como programas de televisión, </w:t>
      </w:r>
      <w:r w:rsidR="00FF1E37">
        <w:rPr>
          <w:rFonts w:ascii="Times New Roman" w:hAnsi="Times New Roman" w:cs="Times New Roman"/>
          <w:sz w:val="24"/>
          <w:szCs w:val="24"/>
        </w:rPr>
        <w:lastRenderedPageBreak/>
        <w:t>personajes de animación o gustos personales</w:t>
      </w:r>
      <w:r>
        <w:rPr>
          <w:rFonts w:ascii="Times New Roman" w:hAnsi="Times New Roman" w:cs="Times New Roman"/>
          <w:sz w:val="24"/>
          <w:szCs w:val="24"/>
        </w:rPr>
        <w:t>. La tabla 1 muestra el código de colores con su relación numérica.</w:t>
      </w:r>
      <w:r w:rsidR="00FF1E37">
        <w:rPr>
          <w:rFonts w:ascii="Times New Roman" w:hAnsi="Times New Roman" w:cs="Times New Roman"/>
          <w:sz w:val="24"/>
          <w:szCs w:val="24"/>
        </w:rPr>
        <w:t xml:space="preserve"> La mitad de arriba muestra los colores que se manejan en las primeras tres bandas, mientras que la mitad de abajo presenta los colores utilizados en la cuarta banda del resistor que corresponde al valor de tolerancia.  </w:t>
      </w:r>
    </w:p>
    <w:tbl>
      <w:tblPr>
        <w:tblW w:w="708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2268"/>
        <w:gridCol w:w="1701"/>
      </w:tblGrid>
      <w:tr w:rsidR="00FF1E37" w:rsidRPr="00EC0D4A" w:rsidTr="00A2075A">
        <w:tc>
          <w:tcPr>
            <w:tcW w:w="1559" w:type="dxa"/>
            <w:vAlign w:val="center"/>
          </w:tcPr>
          <w:p w:rsidR="00FF1E37" w:rsidRPr="00EC0D4A" w:rsidRDefault="00FF1E37" w:rsidP="00FF1E37">
            <w:pPr>
              <w:spacing w:after="0" w:line="240" w:lineRule="auto"/>
              <w:jc w:val="center"/>
              <w:rPr>
                <w:rFonts w:ascii="Arial" w:eastAsia="Calibri" w:hAnsi="Arial" w:cs="Arial"/>
                <w:b/>
                <w:bCs/>
                <w:iCs/>
                <w:sz w:val="20"/>
                <w:szCs w:val="20"/>
              </w:rPr>
            </w:pPr>
            <w:r w:rsidRPr="00EC0D4A">
              <w:rPr>
                <w:rFonts w:ascii="Arial" w:eastAsia="Calibri" w:hAnsi="Arial" w:cs="Arial"/>
                <w:b/>
                <w:bCs/>
                <w:iCs/>
                <w:sz w:val="20"/>
                <w:szCs w:val="20"/>
              </w:rPr>
              <w:t>Valor</w:t>
            </w:r>
          </w:p>
        </w:tc>
        <w:tc>
          <w:tcPr>
            <w:tcW w:w="1559" w:type="dxa"/>
            <w:vAlign w:val="center"/>
          </w:tcPr>
          <w:p w:rsidR="00FF1E37" w:rsidRPr="00EC0D4A" w:rsidRDefault="00FF1E37" w:rsidP="00FF1E37">
            <w:pPr>
              <w:spacing w:after="0" w:line="240" w:lineRule="auto"/>
              <w:jc w:val="center"/>
              <w:rPr>
                <w:rFonts w:ascii="Arial" w:eastAsia="Calibri" w:hAnsi="Arial" w:cs="Arial"/>
                <w:b/>
                <w:bCs/>
                <w:iCs/>
                <w:sz w:val="20"/>
                <w:szCs w:val="20"/>
              </w:rPr>
            </w:pPr>
            <w:r w:rsidRPr="00EC0D4A">
              <w:rPr>
                <w:rFonts w:ascii="Arial" w:eastAsia="Calibri" w:hAnsi="Arial" w:cs="Arial"/>
                <w:b/>
                <w:bCs/>
                <w:iCs/>
                <w:sz w:val="20"/>
                <w:szCs w:val="20"/>
              </w:rPr>
              <w:t>Color</w:t>
            </w:r>
          </w:p>
        </w:tc>
        <w:tc>
          <w:tcPr>
            <w:tcW w:w="2268" w:type="dxa"/>
            <w:shd w:val="clear" w:color="auto" w:fill="auto"/>
            <w:vAlign w:val="center"/>
          </w:tcPr>
          <w:p w:rsidR="00FF1E37" w:rsidRPr="00EC0D4A" w:rsidRDefault="00FF1E37" w:rsidP="00FF1E37">
            <w:pPr>
              <w:spacing w:after="0" w:line="240" w:lineRule="auto"/>
              <w:jc w:val="center"/>
              <w:rPr>
                <w:rFonts w:ascii="Arial" w:eastAsia="Calibri" w:hAnsi="Arial" w:cs="Arial"/>
                <w:b/>
                <w:bCs/>
                <w:iCs/>
                <w:sz w:val="20"/>
                <w:szCs w:val="20"/>
                <w:highlight w:val="black"/>
              </w:rPr>
            </w:pPr>
            <w:r w:rsidRPr="00EC0D4A">
              <w:rPr>
                <w:rFonts w:ascii="Arial" w:eastAsia="Calibri" w:hAnsi="Arial" w:cs="Arial"/>
                <w:b/>
                <w:bCs/>
                <w:iCs/>
                <w:sz w:val="20"/>
                <w:szCs w:val="20"/>
              </w:rPr>
              <w:t>Indicador visual</w:t>
            </w:r>
          </w:p>
        </w:tc>
        <w:tc>
          <w:tcPr>
            <w:tcW w:w="1701" w:type="dxa"/>
            <w:vAlign w:val="center"/>
          </w:tcPr>
          <w:p w:rsidR="00FF1E37" w:rsidRPr="00EC0D4A" w:rsidRDefault="00FF1E37" w:rsidP="00FF1E37">
            <w:pPr>
              <w:spacing w:after="0" w:line="240" w:lineRule="auto"/>
              <w:jc w:val="center"/>
              <w:rPr>
                <w:rFonts w:ascii="Arial" w:eastAsia="Calibri" w:hAnsi="Arial" w:cs="Arial"/>
                <w:b/>
                <w:bCs/>
                <w:iCs/>
                <w:sz w:val="20"/>
                <w:szCs w:val="20"/>
              </w:rPr>
            </w:pPr>
            <w:r w:rsidRPr="00EC0D4A">
              <w:rPr>
                <w:rFonts w:ascii="Arial" w:eastAsia="Calibri" w:hAnsi="Arial" w:cs="Arial"/>
                <w:b/>
                <w:bCs/>
                <w:iCs/>
                <w:sz w:val="20"/>
                <w:szCs w:val="20"/>
              </w:rPr>
              <w:t>Bandas</w:t>
            </w:r>
          </w:p>
        </w:tc>
      </w:tr>
      <w:tr w:rsidR="00FF1E37" w:rsidRPr="00EC0D4A" w:rsidTr="00A2075A">
        <w:tc>
          <w:tcPr>
            <w:tcW w:w="1559" w:type="dxa"/>
          </w:tcPr>
          <w:p w:rsidR="00FF1E37" w:rsidRPr="00EC0D4A" w:rsidRDefault="00FF1E37" w:rsidP="00FF1E37">
            <w:pPr>
              <w:spacing w:after="0" w:line="240" w:lineRule="auto"/>
              <w:jc w:val="center"/>
              <w:rPr>
                <w:rFonts w:ascii="Arial" w:eastAsia="Calibri" w:hAnsi="Arial" w:cs="Arial"/>
                <w:bCs/>
                <w:iCs/>
                <w:sz w:val="20"/>
                <w:szCs w:val="20"/>
              </w:rPr>
            </w:pPr>
            <w:r w:rsidRPr="00EC0D4A">
              <w:rPr>
                <w:rFonts w:ascii="Arial" w:eastAsia="Calibri" w:hAnsi="Arial" w:cs="Arial"/>
                <w:bCs/>
                <w:iCs/>
                <w:sz w:val="20"/>
                <w:szCs w:val="20"/>
              </w:rPr>
              <w:t>0</w:t>
            </w:r>
          </w:p>
        </w:tc>
        <w:tc>
          <w:tcPr>
            <w:tcW w:w="1559" w:type="dxa"/>
          </w:tcPr>
          <w:p w:rsidR="00FF1E37" w:rsidRPr="00EC0D4A" w:rsidRDefault="00FF1E37" w:rsidP="00FF1E37">
            <w:pPr>
              <w:spacing w:after="0" w:line="240" w:lineRule="auto"/>
              <w:jc w:val="center"/>
              <w:rPr>
                <w:rFonts w:ascii="Arial" w:eastAsia="Calibri" w:hAnsi="Arial" w:cs="Arial"/>
                <w:bCs/>
                <w:iCs/>
                <w:sz w:val="20"/>
                <w:szCs w:val="20"/>
              </w:rPr>
            </w:pPr>
            <w:r w:rsidRPr="00EC0D4A">
              <w:rPr>
                <w:rFonts w:ascii="Arial" w:eastAsia="Calibri" w:hAnsi="Arial" w:cs="Arial"/>
                <w:bCs/>
                <w:iCs/>
                <w:sz w:val="20"/>
                <w:szCs w:val="20"/>
              </w:rPr>
              <w:t>Negro</w:t>
            </w:r>
          </w:p>
        </w:tc>
        <w:tc>
          <w:tcPr>
            <w:tcW w:w="2268" w:type="dxa"/>
            <w:shd w:val="clear" w:color="auto" w:fill="000000"/>
          </w:tcPr>
          <w:p w:rsidR="00FF1E37" w:rsidRPr="00EC0D4A" w:rsidRDefault="00FF1E37" w:rsidP="00FF1E37">
            <w:pPr>
              <w:spacing w:after="0" w:line="240" w:lineRule="auto"/>
              <w:jc w:val="center"/>
              <w:rPr>
                <w:rFonts w:ascii="Arial" w:eastAsia="Calibri" w:hAnsi="Arial" w:cs="Arial"/>
                <w:bCs/>
                <w:iCs/>
                <w:sz w:val="20"/>
                <w:szCs w:val="20"/>
                <w:highlight w:val="black"/>
              </w:rPr>
            </w:pPr>
          </w:p>
        </w:tc>
        <w:tc>
          <w:tcPr>
            <w:tcW w:w="1701" w:type="dxa"/>
            <w:vMerge w:val="restart"/>
            <w:vAlign w:val="center"/>
          </w:tcPr>
          <w:p w:rsidR="00FF1E37" w:rsidRPr="00EC0D4A" w:rsidRDefault="00FF1E37" w:rsidP="00FF1E37">
            <w:pPr>
              <w:spacing w:after="0" w:line="240" w:lineRule="auto"/>
              <w:jc w:val="center"/>
              <w:rPr>
                <w:rFonts w:ascii="Arial" w:eastAsia="Calibri" w:hAnsi="Arial" w:cs="Arial"/>
                <w:bCs/>
                <w:iCs/>
                <w:sz w:val="20"/>
                <w:szCs w:val="20"/>
              </w:rPr>
            </w:pPr>
            <w:r w:rsidRPr="00EC0D4A">
              <w:rPr>
                <w:rFonts w:ascii="Arial" w:eastAsia="Calibri" w:hAnsi="Arial" w:cs="Arial"/>
                <w:bCs/>
                <w:iCs/>
                <w:sz w:val="20"/>
                <w:szCs w:val="20"/>
              </w:rPr>
              <w:t>Bandas 1, 2 y 3</w:t>
            </w:r>
          </w:p>
        </w:tc>
      </w:tr>
      <w:tr w:rsidR="00FF1E37" w:rsidRPr="00EC0D4A" w:rsidTr="00FF1E37">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1</w:t>
            </w:r>
          </w:p>
        </w:tc>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Café</w:t>
            </w:r>
          </w:p>
        </w:tc>
        <w:tc>
          <w:tcPr>
            <w:tcW w:w="2268" w:type="dxa"/>
            <w:shd w:val="clear" w:color="auto" w:fill="632423"/>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c>
          <w:tcPr>
            <w:tcW w:w="1701" w:type="dxa"/>
            <w:vMerge/>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r>
      <w:tr w:rsidR="00FF1E37" w:rsidRPr="00EC0D4A" w:rsidTr="00FF1E37">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2</w:t>
            </w:r>
          </w:p>
        </w:tc>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Rojo</w:t>
            </w:r>
          </w:p>
        </w:tc>
        <w:tc>
          <w:tcPr>
            <w:tcW w:w="2268" w:type="dxa"/>
            <w:shd w:val="clear" w:color="auto" w:fill="FF0000"/>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c>
          <w:tcPr>
            <w:tcW w:w="1701" w:type="dxa"/>
            <w:vMerge/>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r>
      <w:tr w:rsidR="00FF1E37" w:rsidRPr="00EC0D4A" w:rsidTr="00FF1E37">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3</w:t>
            </w:r>
          </w:p>
        </w:tc>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Anaranjado</w:t>
            </w:r>
          </w:p>
        </w:tc>
        <w:tc>
          <w:tcPr>
            <w:tcW w:w="2268" w:type="dxa"/>
            <w:shd w:val="clear" w:color="auto" w:fill="E36C0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c>
          <w:tcPr>
            <w:tcW w:w="1701" w:type="dxa"/>
            <w:vMerge/>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r>
      <w:tr w:rsidR="00FF1E37" w:rsidRPr="00EC0D4A" w:rsidTr="00FF1E37">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4</w:t>
            </w:r>
          </w:p>
        </w:tc>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Amarillo</w:t>
            </w:r>
          </w:p>
        </w:tc>
        <w:tc>
          <w:tcPr>
            <w:tcW w:w="2268" w:type="dxa"/>
            <w:shd w:val="clear" w:color="auto" w:fill="FFFF00"/>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c>
          <w:tcPr>
            <w:tcW w:w="1701" w:type="dxa"/>
            <w:vMerge/>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r>
      <w:tr w:rsidR="00FF1E37" w:rsidRPr="00EC0D4A" w:rsidTr="00FF1E37">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5</w:t>
            </w:r>
          </w:p>
        </w:tc>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Verde</w:t>
            </w:r>
          </w:p>
        </w:tc>
        <w:tc>
          <w:tcPr>
            <w:tcW w:w="2268" w:type="dxa"/>
            <w:shd w:val="clear" w:color="auto" w:fill="00B050"/>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c>
          <w:tcPr>
            <w:tcW w:w="1701" w:type="dxa"/>
            <w:vMerge/>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r>
      <w:tr w:rsidR="00FF1E37" w:rsidRPr="00EC0D4A" w:rsidTr="00FF1E37">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6</w:t>
            </w:r>
          </w:p>
        </w:tc>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Azul</w:t>
            </w:r>
          </w:p>
        </w:tc>
        <w:tc>
          <w:tcPr>
            <w:tcW w:w="2268" w:type="dxa"/>
            <w:shd w:val="clear" w:color="auto" w:fill="548DD4"/>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c>
          <w:tcPr>
            <w:tcW w:w="1701" w:type="dxa"/>
            <w:vMerge/>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r>
      <w:tr w:rsidR="00FF1E37" w:rsidRPr="00EC0D4A" w:rsidTr="00FF1E37">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7</w:t>
            </w:r>
          </w:p>
        </w:tc>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Violeta</w:t>
            </w:r>
          </w:p>
        </w:tc>
        <w:tc>
          <w:tcPr>
            <w:tcW w:w="2268" w:type="dxa"/>
            <w:shd w:val="clear" w:color="auto" w:fill="7030A0"/>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c>
          <w:tcPr>
            <w:tcW w:w="1701" w:type="dxa"/>
            <w:vMerge/>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r>
      <w:tr w:rsidR="00FF1E37" w:rsidRPr="00EC0D4A" w:rsidTr="00FF1E37">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8</w:t>
            </w:r>
          </w:p>
        </w:tc>
        <w:tc>
          <w:tcPr>
            <w:tcW w:w="1559" w:type="dxa"/>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Gris</w:t>
            </w:r>
          </w:p>
        </w:tc>
        <w:tc>
          <w:tcPr>
            <w:tcW w:w="2268" w:type="dxa"/>
            <w:shd w:val="clear" w:color="auto" w:fill="808080"/>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c>
          <w:tcPr>
            <w:tcW w:w="1701" w:type="dxa"/>
            <w:vMerge/>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r>
      <w:tr w:rsidR="00FF1E37" w:rsidRPr="00EC0D4A" w:rsidTr="00FF1E37">
        <w:tc>
          <w:tcPr>
            <w:tcW w:w="1559" w:type="dxa"/>
            <w:tcBorders>
              <w:bottom w:val="double" w:sz="4" w:space="0" w:color="auto"/>
            </w:tcBorders>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9</w:t>
            </w:r>
          </w:p>
        </w:tc>
        <w:tc>
          <w:tcPr>
            <w:tcW w:w="1559" w:type="dxa"/>
            <w:tcBorders>
              <w:bottom w:val="double" w:sz="4" w:space="0" w:color="auto"/>
            </w:tcBorders>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Blanco</w:t>
            </w:r>
          </w:p>
        </w:tc>
        <w:tc>
          <w:tcPr>
            <w:tcW w:w="2268" w:type="dxa"/>
            <w:tcBorders>
              <w:bottom w:val="double" w:sz="4" w:space="0" w:color="auto"/>
            </w:tcBorders>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c>
          <w:tcPr>
            <w:tcW w:w="1701" w:type="dxa"/>
            <w:vMerge/>
            <w:tcBorders>
              <w:bottom w:val="double" w:sz="4" w:space="0" w:color="auto"/>
            </w:tcBorders>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r>
      <w:tr w:rsidR="00FF1E37" w:rsidRPr="00EC0D4A" w:rsidTr="00FF1E37">
        <w:tc>
          <w:tcPr>
            <w:tcW w:w="1559" w:type="dxa"/>
            <w:tcBorders>
              <w:top w:val="double" w:sz="4" w:space="0" w:color="auto"/>
              <w:left w:val="double" w:sz="4" w:space="0" w:color="auto"/>
              <w:bottom w:val="single" w:sz="6" w:space="0" w:color="auto"/>
              <w:right w:val="single" w:sz="6" w:space="0" w:color="auto"/>
            </w:tcBorders>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5</w:t>
            </w:r>
            <w:r w:rsidR="002C23E1">
              <w:rPr>
                <w:rFonts w:ascii="Times New Roman" w:eastAsia="Calibri" w:hAnsi="Times New Roman" w:cs="Times New Roman"/>
                <w:bCs/>
                <w:iCs/>
                <w:sz w:val="24"/>
                <w:szCs w:val="24"/>
              </w:rPr>
              <w:t xml:space="preserve"> </w:t>
            </w:r>
            <w:r w:rsidRPr="00FF1E37">
              <w:rPr>
                <w:rFonts w:ascii="Times New Roman" w:eastAsia="Calibri" w:hAnsi="Times New Roman" w:cs="Times New Roman"/>
                <w:bCs/>
                <w:iCs/>
                <w:sz w:val="24"/>
                <w:szCs w:val="24"/>
              </w:rPr>
              <w:t>%</w:t>
            </w:r>
          </w:p>
        </w:tc>
        <w:tc>
          <w:tcPr>
            <w:tcW w:w="1559" w:type="dxa"/>
            <w:tcBorders>
              <w:top w:val="double" w:sz="4" w:space="0" w:color="auto"/>
              <w:left w:val="single" w:sz="6" w:space="0" w:color="auto"/>
              <w:bottom w:val="single" w:sz="6" w:space="0" w:color="auto"/>
              <w:right w:val="single" w:sz="6" w:space="0" w:color="auto"/>
            </w:tcBorders>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Oro</w:t>
            </w:r>
          </w:p>
        </w:tc>
        <w:tc>
          <w:tcPr>
            <w:tcW w:w="2268" w:type="dxa"/>
            <w:tcBorders>
              <w:top w:val="double" w:sz="4" w:space="0" w:color="auto"/>
              <w:left w:val="single" w:sz="6" w:space="0" w:color="auto"/>
              <w:bottom w:val="single" w:sz="6" w:space="0" w:color="auto"/>
              <w:right w:val="single" w:sz="6" w:space="0" w:color="auto"/>
            </w:tcBorders>
            <w:shd w:val="clear" w:color="auto" w:fill="FFC000"/>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p>
        </w:tc>
        <w:tc>
          <w:tcPr>
            <w:tcW w:w="1701" w:type="dxa"/>
            <w:vMerge w:val="restart"/>
            <w:tcBorders>
              <w:top w:val="double" w:sz="4" w:space="0" w:color="auto"/>
              <w:left w:val="single" w:sz="6" w:space="0" w:color="auto"/>
              <w:right w:val="double" w:sz="4" w:space="0" w:color="auto"/>
            </w:tcBorders>
            <w:vAlign w:val="center"/>
          </w:tcPr>
          <w:p w:rsidR="00FF1E37" w:rsidRPr="00FF1E37" w:rsidRDefault="00FF1E37" w:rsidP="00FF1E37">
            <w:pPr>
              <w:spacing w:after="0" w:line="240" w:lineRule="auto"/>
              <w:jc w:val="center"/>
              <w:rPr>
                <w:rFonts w:ascii="Times New Roman" w:eastAsia="Calibri" w:hAnsi="Times New Roman" w:cs="Times New Roman"/>
                <w:bCs/>
                <w:iCs/>
                <w:sz w:val="24"/>
                <w:szCs w:val="24"/>
              </w:rPr>
            </w:pPr>
            <w:r w:rsidRPr="00FF1E37">
              <w:rPr>
                <w:rFonts w:ascii="Times New Roman" w:eastAsia="Calibri" w:hAnsi="Times New Roman" w:cs="Times New Roman"/>
                <w:bCs/>
                <w:iCs/>
                <w:sz w:val="24"/>
                <w:szCs w:val="24"/>
              </w:rPr>
              <w:t>Banda 4 (de tolerancia)</w:t>
            </w:r>
          </w:p>
        </w:tc>
      </w:tr>
      <w:tr w:rsidR="00FF1E37" w:rsidRPr="00EC0D4A" w:rsidTr="00A2075A">
        <w:tc>
          <w:tcPr>
            <w:tcW w:w="1559" w:type="dxa"/>
            <w:tcBorders>
              <w:top w:val="single" w:sz="6" w:space="0" w:color="auto"/>
              <w:left w:val="double" w:sz="4" w:space="0" w:color="auto"/>
              <w:bottom w:val="single" w:sz="6" w:space="0" w:color="auto"/>
              <w:right w:val="single" w:sz="6" w:space="0" w:color="auto"/>
            </w:tcBorders>
          </w:tcPr>
          <w:p w:rsidR="00FF1E37" w:rsidRPr="00EC0D4A" w:rsidRDefault="00FF1E37" w:rsidP="00FF1E37">
            <w:pPr>
              <w:spacing w:after="0" w:line="240" w:lineRule="auto"/>
              <w:jc w:val="center"/>
              <w:rPr>
                <w:rFonts w:ascii="Arial" w:eastAsia="Calibri" w:hAnsi="Arial" w:cs="Arial"/>
                <w:bCs/>
                <w:iCs/>
                <w:sz w:val="20"/>
                <w:szCs w:val="20"/>
              </w:rPr>
            </w:pPr>
            <w:r w:rsidRPr="00EC0D4A">
              <w:rPr>
                <w:rFonts w:ascii="Arial" w:eastAsia="Calibri" w:hAnsi="Arial" w:cs="Arial"/>
                <w:bCs/>
                <w:iCs/>
                <w:sz w:val="20"/>
                <w:szCs w:val="20"/>
              </w:rPr>
              <w:t>10</w:t>
            </w:r>
            <w:r w:rsidR="002C23E1">
              <w:rPr>
                <w:rFonts w:ascii="Arial" w:eastAsia="Calibri" w:hAnsi="Arial" w:cs="Arial"/>
                <w:bCs/>
                <w:iCs/>
                <w:sz w:val="20"/>
                <w:szCs w:val="20"/>
              </w:rPr>
              <w:t xml:space="preserve"> </w:t>
            </w:r>
            <w:r w:rsidRPr="00EC0D4A">
              <w:rPr>
                <w:rFonts w:ascii="Arial" w:eastAsia="Calibri" w:hAnsi="Arial" w:cs="Arial"/>
                <w:bCs/>
                <w:iCs/>
                <w:sz w:val="20"/>
                <w:szCs w:val="20"/>
              </w:rPr>
              <w:t>%</w:t>
            </w:r>
          </w:p>
        </w:tc>
        <w:tc>
          <w:tcPr>
            <w:tcW w:w="1559" w:type="dxa"/>
            <w:tcBorders>
              <w:top w:val="single" w:sz="6" w:space="0" w:color="auto"/>
              <w:left w:val="single" w:sz="6" w:space="0" w:color="auto"/>
              <w:bottom w:val="single" w:sz="6" w:space="0" w:color="auto"/>
              <w:right w:val="single" w:sz="6" w:space="0" w:color="auto"/>
            </w:tcBorders>
          </w:tcPr>
          <w:p w:rsidR="00FF1E37" w:rsidRPr="00EC0D4A" w:rsidRDefault="00FF1E37" w:rsidP="00FF1E37">
            <w:pPr>
              <w:spacing w:after="0" w:line="240" w:lineRule="auto"/>
              <w:jc w:val="center"/>
              <w:rPr>
                <w:rFonts w:ascii="Arial" w:eastAsia="Calibri" w:hAnsi="Arial" w:cs="Arial"/>
                <w:bCs/>
                <w:iCs/>
                <w:sz w:val="20"/>
                <w:szCs w:val="20"/>
              </w:rPr>
            </w:pPr>
            <w:r w:rsidRPr="00EC0D4A">
              <w:rPr>
                <w:rFonts w:ascii="Arial" w:eastAsia="Calibri" w:hAnsi="Arial" w:cs="Arial"/>
                <w:bCs/>
                <w:iCs/>
                <w:sz w:val="20"/>
                <w:szCs w:val="20"/>
              </w:rPr>
              <w:t>Plata</w:t>
            </w:r>
          </w:p>
        </w:tc>
        <w:tc>
          <w:tcPr>
            <w:tcW w:w="2268" w:type="dxa"/>
            <w:tcBorders>
              <w:top w:val="single" w:sz="6" w:space="0" w:color="auto"/>
              <w:left w:val="single" w:sz="6" w:space="0" w:color="auto"/>
              <w:bottom w:val="single" w:sz="6" w:space="0" w:color="auto"/>
              <w:right w:val="single" w:sz="6" w:space="0" w:color="auto"/>
            </w:tcBorders>
            <w:shd w:val="clear" w:color="auto" w:fill="D9D9D9"/>
          </w:tcPr>
          <w:p w:rsidR="00FF1E37" w:rsidRPr="00EC0D4A" w:rsidRDefault="00FF1E37" w:rsidP="00FF1E37">
            <w:pPr>
              <w:spacing w:after="0" w:line="240" w:lineRule="auto"/>
              <w:jc w:val="center"/>
              <w:rPr>
                <w:rFonts w:ascii="Arial" w:eastAsia="Calibri" w:hAnsi="Arial" w:cs="Arial"/>
                <w:bCs/>
                <w:iCs/>
                <w:sz w:val="20"/>
                <w:szCs w:val="20"/>
              </w:rPr>
            </w:pPr>
          </w:p>
        </w:tc>
        <w:tc>
          <w:tcPr>
            <w:tcW w:w="1701" w:type="dxa"/>
            <w:vMerge/>
            <w:tcBorders>
              <w:left w:val="single" w:sz="6" w:space="0" w:color="auto"/>
              <w:right w:val="double" w:sz="4" w:space="0" w:color="auto"/>
            </w:tcBorders>
          </w:tcPr>
          <w:p w:rsidR="00FF1E37" w:rsidRPr="00EC0D4A" w:rsidRDefault="00FF1E37" w:rsidP="00FF1E37">
            <w:pPr>
              <w:spacing w:after="0" w:line="240" w:lineRule="auto"/>
              <w:jc w:val="center"/>
              <w:rPr>
                <w:rFonts w:ascii="Arial" w:eastAsia="Calibri" w:hAnsi="Arial" w:cs="Arial"/>
                <w:bCs/>
                <w:iCs/>
                <w:sz w:val="20"/>
                <w:szCs w:val="20"/>
              </w:rPr>
            </w:pPr>
          </w:p>
        </w:tc>
      </w:tr>
      <w:tr w:rsidR="00FF1E37" w:rsidRPr="00EC0D4A" w:rsidTr="00A2075A">
        <w:tc>
          <w:tcPr>
            <w:tcW w:w="1559" w:type="dxa"/>
            <w:tcBorders>
              <w:top w:val="single" w:sz="6" w:space="0" w:color="auto"/>
              <w:left w:val="double" w:sz="4" w:space="0" w:color="auto"/>
              <w:bottom w:val="double" w:sz="4" w:space="0" w:color="auto"/>
              <w:right w:val="single" w:sz="6" w:space="0" w:color="auto"/>
            </w:tcBorders>
          </w:tcPr>
          <w:p w:rsidR="00FF1E37" w:rsidRPr="00EC0D4A" w:rsidRDefault="00FF1E37" w:rsidP="00FF1E37">
            <w:pPr>
              <w:spacing w:after="0" w:line="240" w:lineRule="auto"/>
              <w:jc w:val="center"/>
              <w:rPr>
                <w:rFonts w:ascii="Arial" w:eastAsia="Calibri" w:hAnsi="Arial" w:cs="Arial"/>
                <w:bCs/>
                <w:iCs/>
                <w:sz w:val="20"/>
                <w:szCs w:val="20"/>
              </w:rPr>
            </w:pPr>
            <w:r w:rsidRPr="00EC0D4A">
              <w:rPr>
                <w:rFonts w:ascii="Arial" w:eastAsia="Calibri" w:hAnsi="Arial" w:cs="Arial"/>
                <w:bCs/>
                <w:iCs/>
                <w:sz w:val="20"/>
                <w:szCs w:val="20"/>
              </w:rPr>
              <w:t>20</w:t>
            </w:r>
            <w:r w:rsidR="002C23E1">
              <w:rPr>
                <w:rFonts w:ascii="Arial" w:eastAsia="Calibri" w:hAnsi="Arial" w:cs="Arial"/>
                <w:bCs/>
                <w:iCs/>
                <w:sz w:val="20"/>
                <w:szCs w:val="20"/>
              </w:rPr>
              <w:t xml:space="preserve"> </w:t>
            </w:r>
            <w:r w:rsidRPr="00EC0D4A">
              <w:rPr>
                <w:rFonts w:ascii="Arial" w:eastAsia="Calibri" w:hAnsi="Arial" w:cs="Arial"/>
                <w:bCs/>
                <w:iCs/>
                <w:sz w:val="20"/>
                <w:szCs w:val="20"/>
              </w:rPr>
              <w:t>%</w:t>
            </w:r>
          </w:p>
        </w:tc>
        <w:tc>
          <w:tcPr>
            <w:tcW w:w="1559" w:type="dxa"/>
            <w:tcBorders>
              <w:top w:val="single" w:sz="6" w:space="0" w:color="auto"/>
              <w:left w:val="single" w:sz="6" w:space="0" w:color="auto"/>
              <w:bottom w:val="double" w:sz="4" w:space="0" w:color="auto"/>
              <w:right w:val="single" w:sz="6" w:space="0" w:color="auto"/>
            </w:tcBorders>
          </w:tcPr>
          <w:p w:rsidR="00FF1E37" w:rsidRPr="00EC0D4A" w:rsidRDefault="00FF1E37" w:rsidP="00FF1E37">
            <w:pPr>
              <w:spacing w:after="0" w:line="240" w:lineRule="auto"/>
              <w:jc w:val="center"/>
              <w:rPr>
                <w:rFonts w:ascii="Arial" w:eastAsia="Calibri" w:hAnsi="Arial" w:cs="Arial"/>
                <w:bCs/>
                <w:iCs/>
                <w:sz w:val="20"/>
                <w:szCs w:val="20"/>
              </w:rPr>
            </w:pPr>
            <w:r w:rsidRPr="00EC0D4A">
              <w:rPr>
                <w:rFonts w:ascii="Arial" w:eastAsia="Calibri" w:hAnsi="Arial" w:cs="Arial"/>
                <w:bCs/>
                <w:iCs/>
                <w:sz w:val="20"/>
                <w:szCs w:val="20"/>
              </w:rPr>
              <w:t>Sin color</w:t>
            </w:r>
          </w:p>
        </w:tc>
        <w:tc>
          <w:tcPr>
            <w:tcW w:w="2268" w:type="dxa"/>
            <w:tcBorders>
              <w:top w:val="single" w:sz="6" w:space="0" w:color="auto"/>
              <w:left w:val="single" w:sz="6" w:space="0" w:color="auto"/>
              <w:bottom w:val="double" w:sz="4" w:space="0" w:color="auto"/>
              <w:right w:val="single" w:sz="6" w:space="0" w:color="auto"/>
            </w:tcBorders>
          </w:tcPr>
          <w:p w:rsidR="00FF1E37" w:rsidRPr="00EC0D4A" w:rsidRDefault="00FF1E37" w:rsidP="00FF1E37">
            <w:pPr>
              <w:spacing w:after="0" w:line="240" w:lineRule="auto"/>
              <w:jc w:val="center"/>
              <w:rPr>
                <w:rFonts w:ascii="Arial" w:eastAsia="Calibri" w:hAnsi="Arial" w:cs="Arial"/>
                <w:bCs/>
                <w:iCs/>
                <w:sz w:val="20"/>
                <w:szCs w:val="20"/>
              </w:rPr>
            </w:pPr>
          </w:p>
        </w:tc>
        <w:tc>
          <w:tcPr>
            <w:tcW w:w="1701" w:type="dxa"/>
            <w:vMerge/>
            <w:tcBorders>
              <w:left w:val="single" w:sz="6" w:space="0" w:color="auto"/>
              <w:bottom w:val="double" w:sz="4" w:space="0" w:color="auto"/>
              <w:right w:val="double" w:sz="4" w:space="0" w:color="auto"/>
            </w:tcBorders>
          </w:tcPr>
          <w:p w:rsidR="00FF1E37" w:rsidRPr="00EC0D4A" w:rsidRDefault="00FF1E37" w:rsidP="00FF1E37">
            <w:pPr>
              <w:spacing w:after="0" w:line="240" w:lineRule="auto"/>
              <w:jc w:val="center"/>
              <w:rPr>
                <w:rFonts w:ascii="Arial" w:eastAsia="Calibri" w:hAnsi="Arial" w:cs="Arial"/>
                <w:bCs/>
                <w:iCs/>
                <w:sz w:val="20"/>
                <w:szCs w:val="20"/>
              </w:rPr>
            </w:pPr>
          </w:p>
        </w:tc>
      </w:tr>
    </w:tbl>
    <w:p w:rsidR="00FF1E37" w:rsidRPr="00B8319F" w:rsidRDefault="00FF1E37" w:rsidP="00FF1E37">
      <w:pPr>
        <w:spacing w:line="360" w:lineRule="auto"/>
        <w:jc w:val="center"/>
        <w:rPr>
          <w:rFonts w:ascii="Times New Roman" w:eastAsiaTheme="majorEastAsia" w:hAnsi="Times New Roman" w:cs="Times New Roman"/>
          <w:i/>
          <w:iCs/>
          <w:sz w:val="24"/>
          <w:szCs w:val="24"/>
        </w:rPr>
      </w:pPr>
      <w:r w:rsidRPr="00B8319F">
        <w:rPr>
          <w:rFonts w:ascii="Times New Roman" w:eastAsiaTheme="majorEastAsia" w:hAnsi="Times New Roman" w:cs="Times New Roman"/>
          <w:i/>
          <w:iCs/>
          <w:sz w:val="24"/>
          <w:szCs w:val="24"/>
        </w:rPr>
        <w:t xml:space="preserve">Tabla 1. </w:t>
      </w:r>
      <w:r>
        <w:rPr>
          <w:rFonts w:ascii="Times New Roman" w:eastAsiaTheme="majorEastAsia" w:hAnsi="Times New Roman" w:cs="Times New Roman"/>
          <w:i/>
          <w:iCs/>
          <w:sz w:val="24"/>
          <w:szCs w:val="24"/>
        </w:rPr>
        <w:t>Código de colores para resistores</w:t>
      </w:r>
      <w:r w:rsidRPr="00B8319F">
        <w:rPr>
          <w:rFonts w:ascii="Times New Roman" w:eastAsiaTheme="majorEastAsia" w:hAnsi="Times New Roman" w:cs="Times New Roman"/>
          <w:i/>
          <w:iCs/>
          <w:sz w:val="24"/>
          <w:szCs w:val="24"/>
        </w:rPr>
        <w:t xml:space="preserve"> </w:t>
      </w:r>
    </w:p>
    <w:p w:rsidR="00FF1E37" w:rsidRDefault="005741DD" w:rsidP="009E59D0">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Durante la impartición de las materias en donde se maneja el uso de resistencias, se seleccionaron dos grupos de alumnos, uno que recibió las clases de forma tradicional y otro (el de control) que fue tratado mediante el método de enseñanza aprendizaje propuesto</w:t>
      </w:r>
      <w:r w:rsidR="002C23E1">
        <w:rPr>
          <w:rFonts w:ascii="Times New Roman" w:hAnsi="Times New Roman" w:cs="Times New Roman"/>
          <w:sz w:val="24"/>
          <w:szCs w:val="24"/>
        </w:rPr>
        <w:t>. C</w:t>
      </w:r>
      <w:r>
        <w:rPr>
          <w:rFonts w:ascii="Times New Roman" w:hAnsi="Times New Roman" w:cs="Times New Roman"/>
          <w:sz w:val="24"/>
          <w:szCs w:val="24"/>
        </w:rPr>
        <w:t xml:space="preserve">ada grupo fue de 25 alumnos, </w:t>
      </w:r>
      <w:r w:rsidR="002C23E1">
        <w:rPr>
          <w:rFonts w:ascii="Times New Roman" w:hAnsi="Times New Roman" w:cs="Times New Roman"/>
          <w:sz w:val="24"/>
          <w:szCs w:val="24"/>
        </w:rPr>
        <w:t>quienes</w:t>
      </w:r>
      <w:r>
        <w:rPr>
          <w:rFonts w:ascii="Times New Roman" w:hAnsi="Times New Roman" w:cs="Times New Roman"/>
          <w:sz w:val="24"/>
          <w:szCs w:val="24"/>
        </w:rPr>
        <w:t xml:space="preserve"> fueron examinados para medir su grado de </w:t>
      </w:r>
      <w:r w:rsidR="006D3EA2">
        <w:rPr>
          <w:rFonts w:ascii="Times New Roman" w:hAnsi="Times New Roman" w:cs="Times New Roman"/>
          <w:sz w:val="24"/>
          <w:szCs w:val="24"/>
        </w:rPr>
        <w:t>asimilación del código de colores y compre</w:t>
      </w:r>
      <w:r w:rsidR="002C23E1">
        <w:rPr>
          <w:rFonts w:ascii="Times New Roman" w:hAnsi="Times New Roman" w:cs="Times New Roman"/>
          <w:sz w:val="24"/>
          <w:szCs w:val="24"/>
        </w:rPr>
        <w:t>n</w:t>
      </w:r>
      <w:r w:rsidR="006D3EA2">
        <w:rPr>
          <w:rFonts w:ascii="Times New Roman" w:hAnsi="Times New Roman" w:cs="Times New Roman"/>
          <w:sz w:val="24"/>
          <w:szCs w:val="24"/>
        </w:rPr>
        <w:t>sión del método de memorización.</w:t>
      </w:r>
    </w:p>
    <w:p w:rsidR="006D3EA2" w:rsidRDefault="006D3EA2" w:rsidP="009E59D0">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Los instrumentos de evaluación se aplicaron a los dos grupos justo después de ver los contenidos de clase y se midieron los resultados, lo que constituyó una memorización a corto plazo. Dos meses después y sin previo aviso, se aplicó una segunda evaluación y se encontraron los resultados, los que sirvieron para medir la memorización a mediano plazo. En cada examen había dos secciones, una que se centraba exclusivamente en la memorización y otra enfocada al cálculo de la resistencia con su tolerancia. Esta última midió la asimilación de conceptos.</w:t>
      </w:r>
    </w:p>
    <w:p w:rsidR="006D3EA2" w:rsidRDefault="006D3EA2" w:rsidP="009E59D0">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La comprensión del método mnemotécnico también fue evaluada de forma independiente al final de la investigación, desde luego s</w:t>
      </w:r>
      <w:r w:rsidR="00160F11">
        <w:rPr>
          <w:rFonts w:ascii="Times New Roman" w:hAnsi="Times New Roman" w:cs="Times New Roman"/>
          <w:sz w:val="24"/>
          <w:szCs w:val="24"/>
        </w:rPr>
        <w:t>ó</w:t>
      </w:r>
      <w:r>
        <w:rPr>
          <w:rFonts w:ascii="Times New Roman" w:hAnsi="Times New Roman" w:cs="Times New Roman"/>
          <w:sz w:val="24"/>
          <w:szCs w:val="24"/>
        </w:rPr>
        <w:t>lo aplicó para los alumnos que habían recibido este tipo de entrenamiento.</w:t>
      </w:r>
    </w:p>
    <w:p w:rsidR="00B82EC0" w:rsidRDefault="00B82EC0" w:rsidP="006D3EA2">
      <w:pPr>
        <w:spacing w:before="120" w:after="240" w:line="36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Discusión</w:t>
      </w:r>
    </w:p>
    <w:p w:rsidR="006D3EA2" w:rsidRPr="006D3EA2" w:rsidRDefault="006D3EA2" w:rsidP="006D3EA2">
      <w:pPr>
        <w:spacing w:after="240" w:line="360" w:lineRule="auto"/>
        <w:jc w:val="both"/>
        <w:rPr>
          <w:rFonts w:ascii="Times New Roman" w:eastAsia="Calibri" w:hAnsi="Times New Roman" w:cs="Times New Roman"/>
          <w:sz w:val="24"/>
          <w:szCs w:val="24"/>
        </w:rPr>
      </w:pPr>
      <w:r>
        <w:rPr>
          <w:rFonts w:ascii="Times New Roman" w:hAnsi="Times New Roman" w:cs="Times New Roman"/>
          <w:sz w:val="24"/>
          <w:szCs w:val="24"/>
        </w:rPr>
        <w:t>Una de la</w:t>
      </w:r>
      <w:r w:rsidR="007F044F">
        <w:rPr>
          <w:rFonts w:ascii="Times New Roman" w:hAnsi="Times New Roman" w:cs="Times New Roman"/>
          <w:sz w:val="24"/>
          <w:szCs w:val="24"/>
        </w:rPr>
        <w:t>s</w:t>
      </w:r>
      <w:r>
        <w:rPr>
          <w:rFonts w:ascii="Times New Roman" w:hAnsi="Times New Roman" w:cs="Times New Roman"/>
          <w:sz w:val="24"/>
          <w:szCs w:val="24"/>
        </w:rPr>
        <w:t xml:space="preserve"> fortalezas del método propuesto es que l</w:t>
      </w:r>
      <w:r w:rsidRPr="006D3EA2">
        <w:rPr>
          <w:rFonts w:ascii="Times New Roman" w:eastAsia="Calibri" w:hAnsi="Times New Roman" w:cs="Times New Roman"/>
          <w:sz w:val="24"/>
          <w:szCs w:val="24"/>
        </w:rPr>
        <w:t xml:space="preserve">as relaciones </w:t>
      </w:r>
      <w:r>
        <w:rPr>
          <w:rFonts w:ascii="Times New Roman" w:hAnsi="Times New Roman" w:cs="Times New Roman"/>
          <w:sz w:val="24"/>
          <w:szCs w:val="24"/>
        </w:rPr>
        <w:t>sugeridas</w:t>
      </w:r>
      <w:r w:rsidRPr="006D3EA2">
        <w:rPr>
          <w:rFonts w:ascii="Times New Roman" w:eastAsia="Calibri" w:hAnsi="Times New Roman" w:cs="Times New Roman"/>
          <w:sz w:val="24"/>
          <w:szCs w:val="24"/>
        </w:rPr>
        <w:t xml:space="preserve"> no sólo </w:t>
      </w:r>
      <w:r>
        <w:rPr>
          <w:rFonts w:ascii="Times New Roman" w:hAnsi="Times New Roman" w:cs="Times New Roman"/>
          <w:sz w:val="24"/>
          <w:szCs w:val="24"/>
        </w:rPr>
        <w:t>le permitieron al</w:t>
      </w:r>
      <w:r w:rsidRPr="006D3EA2">
        <w:rPr>
          <w:rFonts w:ascii="Times New Roman" w:eastAsia="Calibri" w:hAnsi="Times New Roman" w:cs="Times New Roman"/>
          <w:sz w:val="24"/>
          <w:szCs w:val="24"/>
        </w:rPr>
        <w:t xml:space="preserve"> alumno una mejor comprensión del código de colores, sino que </w:t>
      </w:r>
      <w:r>
        <w:rPr>
          <w:rFonts w:ascii="Times New Roman" w:hAnsi="Times New Roman" w:cs="Times New Roman"/>
          <w:sz w:val="24"/>
          <w:szCs w:val="24"/>
        </w:rPr>
        <w:t>lo retaron</w:t>
      </w:r>
      <w:r w:rsidRPr="006D3EA2">
        <w:rPr>
          <w:rFonts w:ascii="Times New Roman" w:eastAsia="Calibri" w:hAnsi="Times New Roman" w:cs="Times New Roman"/>
          <w:sz w:val="24"/>
          <w:szCs w:val="24"/>
        </w:rPr>
        <w:t xml:space="preserve"> a encarar otros problemas de memorización a través de su habilidad para traducir a otras formas de lenguaje, motivando su ingenio y creatividad, y desarrollando </w:t>
      </w:r>
      <w:r w:rsidR="00160F11">
        <w:rPr>
          <w:rFonts w:ascii="Times New Roman" w:eastAsia="Calibri" w:hAnsi="Times New Roman" w:cs="Times New Roman"/>
          <w:sz w:val="24"/>
          <w:szCs w:val="24"/>
        </w:rPr>
        <w:t xml:space="preserve">en él </w:t>
      </w:r>
      <w:r w:rsidRPr="006D3EA2">
        <w:rPr>
          <w:rFonts w:ascii="Times New Roman" w:eastAsia="Calibri" w:hAnsi="Times New Roman" w:cs="Times New Roman"/>
          <w:sz w:val="24"/>
          <w:szCs w:val="24"/>
        </w:rPr>
        <w:t>de este modo elementos importantes para su futura actividad profesional.</w:t>
      </w:r>
    </w:p>
    <w:p w:rsidR="00ED5ED3" w:rsidRDefault="006D3EA2" w:rsidP="00B82EC0">
      <w:pPr>
        <w:spacing w:line="360" w:lineRule="auto"/>
        <w:jc w:val="both"/>
        <w:rPr>
          <w:rFonts w:ascii="Times New Roman" w:hAnsi="Times New Roman" w:cs="Times New Roman"/>
          <w:sz w:val="24"/>
          <w:szCs w:val="24"/>
        </w:rPr>
      </w:pPr>
      <w:r>
        <w:rPr>
          <w:rFonts w:ascii="Times New Roman" w:hAnsi="Times New Roman" w:cs="Times New Roman"/>
          <w:sz w:val="24"/>
          <w:szCs w:val="24"/>
        </w:rPr>
        <w:t>Algo</w:t>
      </w:r>
      <w:r w:rsidR="00ED5ED3">
        <w:rPr>
          <w:rFonts w:ascii="Times New Roman" w:hAnsi="Times New Roman" w:cs="Times New Roman"/>
          <w:sz w:val="24"/>
          <w:szCs w:val="24"/>
        </w:rPr>
        <w:t xml:space="preserve"> que vale la pena </w:t>
      </w:r>
      <w:r>
        <w:rPr>
          <w:rFonts w:ascii="Times New Roman" w:hAnsi="Times New Roman" w:cs="Times New Roman"/>
          <w:sz w:val="24"/>
          <w:szCs w:val="24"/>
        </w:rPr>
        <w:t>señalar es que la mayoría de los</w:t>
      </w:r>
      <w:r w:rsidR="00ED5ED3">
        <w:rPr>
          <w:rFonts w:ascii="Times New Roman" w:hAnsi="Times New Roman" w:cs="Times New Roman"/>
          <w:sz w:val="24"/>
          <w:szCs w:val="24"/>
        </w:rPr>
        <w:t xml:space="preserve"> </w:t>
      </w:r>
      <w:r>
        <w:rPr>
          <w:rFonts w:ascii="Times New Roman" w:hAnsi="Times New Roman" w:cs="Times New Roman"/>
          <w:sz w:val="24"/>
          <w:szCs w:val="24"/>
        </w:rPr>
        <w:t xml:space="preserve">alumnos mostró interés </w:t>
      </w:r>
      <w:r w:rsidR="00243D85">
        <w:rPr>
          <w:rFonts w:ascii="Times New Roman" w:hAnsi="Times New Roman" w:cs="Times New Roman"/>
          <w:sz w:val="24"/>
          <w:szCs w:val="24"/>
        </w:rPr>
        <w:t>en el método mnemotécnico propuesto, de modo que disfrutaron mientras establecían las relaciones estrambóticas e ilógicas entre los números y los colores correspondientes y</w:t>
      </w:r>
      <w:r w:rsidR="00ED5ED3">
        <w:rPr>
          <w:rFonts w:ascii="Times New Roman" w:hAnsi="Times New Roman" w:cs="Times New Roman"/>
          <w:sz w:val="24"/>
          <w:szCs w:val="24"/>
        </w:rPr>
        <w:t xml:space="preserve"> estu</w:t>
      </w:r>
      <w:r w:rsidR="00243D85">
        <w:rPr>
          <w:rFonts w:ascii="Times New Roman" w:hAnsi="Times New Roman" w:cs="Times New Roman"/>
          <w:sz w:val="24"/>
          <w:szCs w:val="24"/>
        </w:rPr>
        <w:t>vieron dispuestos a participar.</w:t>
      </w:r>
    </w:p>
    <w:p w:rsidR="00243D85" w:rsidRDefault="00243D85" w:rsidP="00B82E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 limitaciones que se presentaron fueron en cuanto al tiempo de aplicación de la investigación que evaluó sólo a alumnos de una generación durante un periodo escolar y que no todos los profesores que imparten estas materias estuvieron dispuestos a participar, por lo que se trabajó con grupos ya establecidos. </w:t>
      </w:r>
    </w:p>
    <w:p w:rsidR="00ED5ED3" w:rsidRPr="00B82EC0" w:rsidRDefault="00243D85" w:rsidP="00B82EC0">
      <w:pPr>
        <w:spacing w:line="360" w:lineRule="auto"/>
        <w:jc w:val="both"/>
        <w:rPr>
          <w:rFonts w:ascii="Times New Roman" w:hAnsi="Times New Roman" w:cs="Times New Roman"/>
          <w:sz w:val="24"/>
          <w:szCs w:val="24"/>
        </w:rPr>
      </w:pPr>
      <w:r>
        <w:rPr>
          <w:rFonts w:ascii="Times New Roman" w:hAnsi="Times New Roman" w:cs="Times New Roman"/>
          <w:sz w:val="24"/>
          <w:szCs w:val="24"/>
        </w:rPr>
        <w:t>Por otro lado</w:t>
      </w:r>
      <w:r w:rsidR="004D79F1">
        <w:rPr>
          <w:rFonts w:ascii="Times New Roman" w:hAnsi="Times New Roman" w:cs="Times New Roman"/>
          <w:sz w:val="24"/>
          <w:szCs w:val="24"/>
        </w:rPr>
        <w:t>,</w:t>
      </w:r>
      <w:r>
        <w:rPr>
          <w:rFonts w:ascii="Times New Roman" w:hAnsi="Times New Roman" w:cs="Times New Roman"/>
          <w:sz w:val="24"/>
          <w:szCs w:val="24"/>
        </w:rPr>
        <w:t xml:space="preserve"> una debilidad es que no es posible evitar la filtración de información, en especial en una época en la que el desarrollo de las tecnologías de la información ha avanzado tanto, por lo que algunos alumnos del grupo de control pudieron haber aprendido las técnicas mnemotécnicas y dado que es un ejercicio que se desarrolla rápidamente esta situación pudo haber generado cierto sesgo en los resultados. </w:t>
      </w:r>
    </w:p>
    <w:p w:rsidR="00573DEB" w:rsidRPr="00FD5924" w:rsidRDefault="00B8319F" w:rsidP="003F41C1">
      <w:pPr>
        <w:spacing w:before="120" w:after="240" w:line="36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Conclusio</w:t>
      </w:r>
      <w:r w:rsidR="000B0656" w:rsidRPr="00FD5924">
        <w:rPr>
          <w:rFonts w:ascii="Calibri" w:eastAsia="Times New Roman" w:hAnsi="Calibri" w:cs="Calibri"/>
          <w:color w:val="7030A0"/>
          <w:sz w:val="28"/>
          <w:szCs w:val="28"/>
          <w:lang w:val="es-ES" w:eastAsia="es-ES"/>
        </w:rPr>
        <w:t>n</w:t>
      </w:r>
      <w:r>
        <w:rPr>
          <w:rFonts w:ascii="Calibri" w:eastAsia="Times New Roman" w:hAnsi="Calibri" w:cs="Calibri"/>
          <w:color w:val="7030A0"/>
          <w:sz w:val="28"/>
          <w:szCs w:val="28"/>
          <w:lang w:val="es-ES" w:eastAsia="es-ES"/>
        </w:rPr>
        <w:t>es</w:t>
      </w:r>
    </w:p>
    <w:p w:rsidR="00734569" w:rsidRDefault="00734569" w:rsidP="00734569">
      <w:pPr>
        <w:spacing w:after="240" w:line="36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Los resultados de la investigación arrojaron una mejora de los estudiantes en cada uno de los cuatro indicadores propuestos. Las técnicas estrambóticas utilizadas para la relación entre los colores y los números correspondientes arrojaron resultados favorables en los estudiantes en los grupos de experimentación.</w:t>
      </w:r>
    </w:p>
    <w:p w:rsidR="00734569" w:rsidRPr="00B8319F" w:rsidRDefault="00734569" w:rsidP="0073456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La tabla 2 muestra un resumen de los resultados de la investigación, en la cual las columnas de memorización a corto plazo muestran el resultado de la primera sección del primer examen. La columna de memorización a largo plazo hace referencia </w:t>
      </w:r>
      <w:r w:rsidR="004D79F1">
        <w:rPr>
          <w:rFonts w:ascii="Times New Roman" w:eastAsia="Calibri" w:hAnsi="Times New Roman" w:cs="Times New Roman"/>
          <w:sz w:val="24"/>
          <w:szCs w:val="24"/>
        </w:rPr>
        <w:t>sobre</w:t>
      </w:r>
      <w:r>
        <w:rPr>
          <w:rFonts w:ascii="Times New Roman" w:eastAsia="Calibri" w:hAnsi="Times New Roman" w:cs="Times New Roman"/>
          <w:sz w:val="24"/>
          <w:szCs w:val="24"/>
        </w:rPr>
        <w:t xml:space="preserve"> los resultados de </w:t>
      </w:r>
      <w:r>
        <w:rPr>
          <w:rFonts w:ascii="Times New Roman" w:eastAsia="Calibri" w:hAnsi="Times New Roman" w:cs="Times New Roman"/>
          <w:sz w:val="24"/>
          <w:szCs w:val="24"/>
        </w:rPr>
        <w:lastRenderedPageBreak/>
        <w:t>la primera sección de la segunda evaluación. La columna comprensión de conceptos muestra los promedios de los resultados obtenidos en la segunda sección de los dos exámenes, mientras que la columna comprensión del método muestra los resultados de la evaluación aplicada únicamente al grupo de experimentación.</w:t>
      </w:r>
    </w:p>
    <w:tbl>
      <w:tblPr>
        <w:tblW w:w="8660" w:type="dxa"/>
        <w:tblInd w:w="55" w:type="dxa"/>
        <w:tblCellMar>
          <w:left w:w="70" w:type="dxa"/>
          <w:right w:w="70" w:type="dxa"/>
        </w:tblCellMar>
        <w:tblLook w:val="04A0" w:firstRow="1" w:lastRow="0" w:firstColumn="1" w:lastColumn="0" w:noHBand="0" w:noVBand="1"/>
      </w:tblPr>
      <w:tblGrid>
        <w:gridCol w:w="1716"/>
        <w:gridCol w:w="2024"/>
        <w:gridCol w:w="1640"/>
        <w:gridCol w:w="1640"/>
        <w:gridCol w:w="1640"/>
      </w:tblGrid>
      <w:tr w:rsidR="00694E73" w:rsidRPr="004668AF" w:rsidTr="00531446">
        <w:trPr>
          <w:trHeight w:val="300"/>
        </w:trPr>
        <w:tc>
          <w:tcPr>
            <w:tcW w:w="1716" w:type="dxa"/>
            <w:vMerge w:val="restart"/>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694E73" w:rsidRPr="00694E73" w:rsidRDefault="00694E73" w:rsidP="00694E73">
            <w:pPr>
              <w:spacing w:after="0" w:line="240" w:lineRule="auto"/>
              <w:jc w:val="center"/>
              <w:rPr>
                <w:rFonts w:ascii="Times New Roman" w:eastAsia="Calibri" w:hAnsi="Times New Roman" w:cs="Times New Roman"/>
                <w:b/>
                <w:bCs/>
                <w:color w:val="000000"/>
                <w:sz w:val="24"/>
                <w:szCs w:val="24"/>
                <w:lang w:eastAsia="es-MX"/>
              </w:rPr>
            </w:pPr>
            <w:r w:rsidRPr="00694E73">
              <w:rPr>
                <w:rFonts w:ascii="Times New Roman" w:eastAsia="Calibri" w:hAnsi="Times New Roman" w:cs="Times New Roman"/>
                <w:b/>
                <w:bCs/>
                <w:color w:val="000000"/>
                <w:sz w:val="24"/>
                <w:szCs w:val="24"/>
                <w:lang w:eastAsia="es-MX"/>
              </w:rPr>
              <w:t>Grupo</w:t>
            </w:r>
          </w:p>
        </w:tc>
        <w:tc>
          <w:tcPr>
            <w:tcW w:w="6944" w:type="dxa"/>
            <w:gridSpan w:val="4"/>
            <w:tcBorders>
              <w:top w:val="single" w:sz="4" w:space="0" w:color="auto"/>
              <w:left w:val="nil"/>
              <w:bottom w:val="single" w:sz="4" w:space="0" w:color="auto"/>
              <w:right w:val="single" w:sz="4" w:space="0" w:color="auto"/>
            </w:tcBorders>
            <w:shd w:val="clear" w:color="000000" w:fill="F2F2F2"/>
            <w:noWrap/>
            <w:vAlign w:val="center"/>
            <w:hideMark/>
          </w:tcPr>
          <w:p w:rsidR="00694E73" w:rsidRPr="00694E73" w:rsidRDefault="00694E73" w:rsidP="00694E73">
            <w:pPr>
              <w:spacing w:after="0" w:line="240" w:lineRule="auto"/>
              <w:jc w:val="center"/>
              <w:rPr>
                <w:rFonts w:ascii="Times New Roman" w:eastAsia="Calibri" w:hAnsi="Times New Roman" w:cs="Times New Roman"/>
                <w:b/>
                <w:bCs/>
                <w:color w:val="000000"/>
                <w:sz w:val="24"/>
                <w:szCs w:val="24"/>
                <w:lang w:eastAsia="es-MX"/>
              </w:rPr>
            </w:pPr>
            <w:r w:rsidRPr="00694E73">
              <w:rPr>
                <w:rFonts w:ascii="Times New Roman" w:eastAsia="Calibri" w:hAnsi="Times New Roman" w:cs="Times New Roman"/>
                <w:b/>
                <w:bCs/>
                <w:color w:val="000000"/>
                <w:sz w:val="24"/>
                <w:szCs w:val="24"/>
                <w:lang w:eastAsia="es-MX"/>
              </w:rPr>
              <w:t>Indicador de comprensión de conceptos y desempeño académico</w:t>
            </w:r>
          </w:p>
        </w:tc>
      </w:tr>
      <w:tr w:rsidR="00694E73" w:rsidRPr="004668AF" w:rsidTr="00531446">
        <w:trPr>
          <w:trHeight w:val="1200"/>
        </w:trPr>
        <w:tc>
          <w:tcPr>
            <w:tcW w:w="1716" w:type="dxa"/>
            <w:vMerge/>
            <w:tcBorders>
              <w:top w:val="single" w:sz="4" w:space="0" w:color="auto"/>
              <w:left w:val="single" w:sz="4" w:space="0" w:color="auto"/>
              <w:bottom w:val="single" w:sz="4" w:space="0" w:color="000000"/>
              <w:right w:val="single" w:sz="4" w:space="0" w:color="auto"/>
            </w:tcBorders>
            <w:vAlign w:val="center"/>
            <w:hideMark/>
          </w:tcPr>
          <w:p w:rsidR="00694E73" w:rsidRPr="00694E73" w:rsidRDefault="00694E73" w:rsidP="00694E73">
            <w:pPr>
              <w:spacing w:after="0" w:line="240" w:lineRule="auto"/>
              <w:rPr>
                <w:rFonts w:ascii="Times New Roman" w:eastAsia="Calibri" w:hAnsi="Times New Roman" w:cs="Times New Roman"/>
                <w:b/>
                <w:bCs/>
                <w:color w:val="000000"/>
                <w:sz w:val="24"/>
                <w:szCs w:val="24"/>
                <w:lang w:eastAsia="es-MX"/>
              </w:rPr>
            </w:pPr>
          </w:p>
        </w:tc>
        <w:tc>
          <w:tcPr>
            <w:tcW w:w="2024" w:type="dxa"/>
            <w:tcBorders>
              <w:top w:val="nil"/>
              <w:left w:val="nil"/>
              <w:bottom w:val="single" w:sz="4" w:space="0" w:color="auto"/>
              <w:right w:val="single" w:sz="4" w:space="0" w:color="auto"/>
            </w:tcBorders>
            <w:shd w:val="clear" w:color="000000" w:fill="F2F2F2"/>
            <w:vAlign w:val="center"/>
            <w:hideMark/>
          </w:tcPr>
          <w:p w:rsidR="00694E73" w:rsidRPr="00694E73" w:rsidRDefault="00694E73" w:rsidP="00694E73">
            <w:pPr>
              <w:spacing w:after="0" w:line="240" w:lineRule="auto"/>
              <w:jc w:val="center"/>
              <w:rPr>
                <w:rFonts w:ascii="Times New Roman" w:eastAsia="Calibri" w:hAnsi="Times New Roman" w:cs="Times New Roman"/>
                <w:b/>
                <w:bCs/>
                <w:color w:val="000000"/>
                <w:sz w:val="24"/>
                <w:szCs w:val="24"/>
                <w:lang w:eastAsia="es-MX"/>
              </w:rPr>
            </w:pPr>
            <w:r w:rsidRPr="00694E73">
              <w:rPr>
                <w:rFonts w:ascii="Times New Roman" w:eastAsia="Calibri" w:hAnsi="Times New Roman" w:cs="Times New Roman"/>
                <w:b/>
                <w:bCs/>
                <w:color w:val="000000"/>
                <w:sz w:val="24"/>
                <w:szCs w:val="24"/>
                <w:lang w:eastAsia="es-MX"/>
              </w:rPr>
              <w:t xml:space="preserve">Memorización a corto plazo </w:t>
            </w:r>
          </w:p>
        </w:tc>
        <w:tc>
          <w:tcPr>
            <w:tcW w:w="1640" w:type="dxa"/>
            <w:tcBorders>
              <w:top w:val="nil"/>
              <w:left w:val="nil"/>
              <w:bottom w:val="single" w:sz="4" w:space="0" w:color="auto"/>
              <w:right w:val="single" w:sz="4" w:space="0" w:color="auto"/>
            </w:tcBorders>
            <w:shd w:val="clear" w:color="000000" w:fill="F2F2F2"/>
            <w:vAlign w:val="center"/>
            <w:hideMark/>
          </w:tcPr>
          <w:p w:rsidR="00694E73" w:rsidRPr="00694E73" w:rsidRDefault="00694E73" w:rsidP="00694E73">
            <w:pPr>
              <w:spacing w:after="0" w:line="240" w:lineRule="auto"/>
              <w:jc w:val="center"/>
              <w:rPr>
                <w:rFonts w:ascii="Times New Roman" w:eastAsia="Calibri" w:hAnsi="Times New Roman" w:cs="Times New Roman"/>
                <w:b/>
                <w:bCs/>
                <w:color w:val="000000"/>
                <w:sz w:val="24"/>
                <w:szCs w:val="24"/>
                <w:lang w:eastAsia="es-MX"/>
              </w:rPr>
            </w:pPr>
            <w:r w:rsidRPr="00694E73">
              <w:rPr>
                <w:rFonts w:ascii="Times New Roman" w:eastAsia="Calibri" w:hAnsi="Times New Roman" w:cs="Times New Roman"/>
                <w:b/>
                <w:bCs/>
                <w:color w:val="000000"/>
                <w:sz w:val="24"/>
                <w:szCs w:val="24"/>
                <w:lang w:eastAsia="es-MX"/>
              </w:rPr>
              <w:t xml:space="preserve">Memorización a mediano plazo </w:t>
            </w:r>
          </w:p>
        </w:tc>
        <w:tc>
          <w:tcPr>
            <w:tcW w:w="1640" w:type="dxa"/>
            <w:tcBorders>
              <w:top w:val="nil"/>
              <w:left w:val="nil"/>
              <w:bottom w:val="single" w:sz="4" w:space="0" w:color="auto"/>
              <w:right w:val="single" w:sz="4" w:space="0" w:color="auto"/>
            </w:tcBorders>
            <w:shd w:val="clear" w:color="000000" w:fill="F2F2F2"/>
            <w:vAlign w:val="center"/>
            <w:hideMark/>
          </w:tcPr>
          <w:p w:rsidR="00694E73" w:rsidRPr="00694E73" w:rsidRDefault="00694E73" w:rsidP="00694E73">
            <w:pPr>
              <w:spacing w:after="0" w:line="240" w:lineRule="auto"/>
              <w:jc w:val="center"/>
              <w:rPr>
                <w:rFonts w:ascii="Times New Roman" w:eastAsia="Calibri" w:hAnsi="Times New Roman" w:cs="Times New Roman"/>
                <w:b/>
                <w:bCs/>
                <w:color w:val="000000"/>
                <w:sz w:val="24"/>
                <w:szCs w:val="24"/>
                <w:lang w:eastAsia="es-MX"/>
              </w:rPr>
            </w:pPr>
            <w:r w:rsidRPr="00694E73">
              <w:rPr>
                <w:rFonts w:ascii="Times New Roman" w:eastAsia="Calibri" w:hAnsi="Times New Roman" w:cs="Times New Roman"/>
                <w:b/>
                <w:bCs/>
                <w:color w:val="000000"/>
                <w:sz w:val="24"/>
                <w:szCs w:val="24"/>
                <w:lang w:eastAsia="es-MX"/>
              </w:rPr>
              <w:t>Comprensión de conceptos</w:t>
            </w:r>
          </w:p>
        </w:tc>
        <w:tc>
          <w:tcPr>
            <w:tcW w:w="1640" w:type="dxa"/>
            <w:tcBorders>
              <w:top w:val="nil"/>
              <w:left w:val="nil"/>
              <w:bottom w:val="single" w:sz="4" w:space="0" w:color="auto"/>
              <w:right w:val="single" w:sz="4" w:space="0" w:color="auto"/>
            </w:tcBorders>
            <w:shd w:val="clear" w:color="000000" w:fill="F2F2F2"/>
            <w:vAlign w:val="center"/>
            <w:hideMark/>
          </w:tcPr>
          <w:p w:rsidR="00694E73" w:rsidRPr="00694E73" w:rsidRDefault="00694E73" w:rsidP="00694E73">
            <w:pPr>
              <w:spacing w:after="0" w:line="240" w:lineRule="auto"/>
              <w:jc w:val="center"/>
              <w:rPr>
                <w:rFonts w:ascii="Times New Roman" w:eastAsia="Calibri" w:hAnsi="Times New Roman" w:cs="Times New Roman"/>
                <w:b/>
                <w:bCs/>
                <w:color w:val="000000"/>
                <w:sz w:val="24"/>
                <w:szCs w:val="24"/>
                <w:lang w:eastAsia="es-MX"/>
              </w:rPr>
            </w:pPr>
            <w:r w:rsidRPr="00694E73">
              <w:rPr>
                <w:rFonts w:ascii="Times New Roman" w:eastAsia="Calibri" w:hAnsi="Times New Roman" w:cs="Times New Roman"/>
                <w:b/>
                <w:bCs/>
                <w:color w:val="000000"/>
                <w:sz w:val="24"/>
                <w:szCs w:val="24"/>
                <w:lang w:eastAsia="es-MX"/>
              </w:rPr>
              <w:t>Comprensión del método</w:t>
            </w:r>
          </w:p>
        </w:tc>
      </w:tr>
      <w:tr w:rsidR="00694E73" w:rsidRPr="004668AF" w:rsidTr="00531446">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694E73" w:rsidRPr="00694E73" w:rsidRDefault="00694E73" w:rsidP="00694E73">
            <w:pPr>
              <w:spacing w:after="0" w:line="240" w:lineRule="auto"/>
              <w:jc w:val="center"/>
              <w:rPr>
                <w:rFonts w:ascii="Times New Roman" w:eastAsia="Calibri" w:hAnsi="Times New Roman" w:cs="Times New Roman"/>
                <w:color w:val="000000"/>
                <w:sz w:val="24"/>
                <w:szCs w:val="24"/>
                <w:lang w:eastAsia="es-MX"/>
              </w:rPr>
            </w:pPr>
            <w:r w:rsidRPr="00694E73">
              <w:rPr>
                <w:rFonts w:ascii="Times New Roman" w:eastAsia="Calibri" w:hAnsi="Times New Roman" w:cs="Times New Roman"/>
                <w:color w:val="000000"/>
                <w:sz w:val="24"/>
                <w:szCs w:val="24"/>
                <w:lang w:eastAsia="es-MX"/>
              </w:rPr>
              <w:t>A (método tradicional)</w:t>
            </w:r>
          </w:p>
        </w:tc>
        <w:tc>
          <w:tcPr>
            <w:tcW w:w="2024" w:type="dxa"/>
            <w:tcBorders>
              <w:top w:val="nil"/>
              <w:left w:val="nil"/>
              <w:bottom w:val="single" w:sz="4" w:space="0" w:color="auto"/>
              <w:right w:val="single" w:sz="4" w:space="0" w:color="auto"/>
            </w:tcBorders>
            <w:shd w:val="clear" w:color="auto" w:fill="auto"/>
            <w:noWrap/>
            <w:vAlign w:val="center"/>
            <w:hideMark/>
          </w:tcPr>
          <w:p w:rsidR="00694E73" w:rsidRPr="00694E73" w:rsidRDefault="00694E73" w:rsidP="00694E73">
            <w:pPr>
              <w:spacing w:after="0" w:line="240" w:lineRule="auto"/>
              <w:jc w:val="center"/>
              <w:rPr>
                <w:rFonts w:ascii="Times New Roman" w:eastAsia="Calibri" w:hAnsi="Times New Roman" w:cs="Times New Roman"/>
                <w:color w:val="000000"/>
                <w:sz w:val="24"/>
                <w:szCs w:val="24"/>
                <w:lang w:eastAsia="es-MX"/>
              </w:rPr>
            </w:pPr>
            <w:r w:rsidRPr="00694E73">
              <w:rPr>
                <w:rFonts w:ascii="Times New Roman" w:eastAsia="Calibri" w:hAnsi="Times New Roman" w:cs="Times New Roman"/>
                <w:color w:val="000000"/>
                <w:sz w:val="24"/>
                <w:szCs w:val="24"/>
                <w:lang w:eastAsia="es-MX"/>
              </w:rPr>
              <w:t>6</w:t>
            </w:r>
            <w:r w:rsidR="00734569">
              <w:rPr>
                <w:rFonts w:ascii="Times New Roman" w:hAnsi="Times New Roman" w:cs="Times New Roman"/>
                <w:color w:val="000000"/>
                <w:sz w:val="24"/>
                <w:szCs w:val="24"/>
                <w:lang w:eastAsia="es-MX"/>
              </w:rPr>
              <w:t>2</w:t>
            </w:r>
          </w:p>
        </w:tc>
        <w:tc>
          <w:tcPr>
            <w:tcW w:w="1640" w:type="dxa"/>
            <w:tcBorders>
              <w:top w:val="nil"/>
              <w:left w:val="nil"/>
              <w:bottom w:val="single" w:sz="4" w:space="0" w:color="auto"/>
              <w:right w:val="single" w:sz="4" w:space="0" w:color="auto"/>
            </w:tcBorders>
            <w:shd w:val="clear" w:color="auto" w:fill="auto"/>
            <w:noWrap/>
            <w:vAlign w:val="center"/>
            <w:hideMark/>
          </w:tcPr>
          <w:p w:rsidR="00694E73" w:rsidRPr="00694E73" w:rsidRDefault="00694E73" w:rsidP="00694E73">
            <w:pPr>
              <w:spacing w:after="0" w:line="240" w:lineRule="auto"/>
              <w:jc w:val="center"/>
              <w:rPr>
                <w:rFonts w:ascii="Times New Roman" w:eastAsia="Calibri" w:hAnsi="Times New Roman" w:cs="Times New Roman"/>
                <w:color w:val="000000"/>
                <w:sz w:val="24"/>
                <w:szCs w:val="24"/>
                <w:lang w:eastAsia="es-MX"/>
              </w:rPr>
            </w:pPr>
            <w:r w:rsidRPr="00694E73">
              <w:rPr>
                <w:rFonts w:ascii="Times New Roman" w:eastAsia="Calibri" w:hAnsi="Times New Roman" w:cs="Times New Roman"/>
                <w:color w:val="000000"/>
                <w:sz w:val="24"/>
                <w:szCs w:val="24"/>
                <w:lang w:eastAsia="es-MX"/>
              </w:rPr>
              <w:t>57</w:t>
            </w:r>
          </w:p>
        </w:tc>
        <w:tc>
          <w:tcPr>
            <w:tcW w:w="1640" w:type="dxa"/>
            <w:tcBorders>
              <w:top w:val="nil"/>
              <w:left w:val="nil"/>
              <w:bottom w:val="single" w:sz="4" w:space="0" w:color="auto"/>
              <w:right w:val="single" w:sz="4" w:space="0" w:color="auto"/>
            </w:tcBorders>
            <w:shd w:val="clear" w:color="auto" w:fill="auto"/>
            <w:noWrap/>
            <w:vAlign w:val="center"/>
            <w:hideMark/>
          </w:tcPr>
          <w:p w:rsidR="00694E73" w:rsidRPr="00694E73" w:rsidRDefault="00694E73" w:rsidP="00694E73">
            <w:pPr>
              <w:spacing w:after="0" w:line="240" w:lineRule="auto"/>
              <w:jc w:val="center"/>
              <w:rPr>
                <w:rFonts w:ascii="Times New Roman" w:eastAsia="Calibri" w:hAnsi="Times New Roman" w:cs="Times New Roman"/>
                <w:color w:val="000000"/>
                <w:sz w:val="24"/>
                <w:szCs w:val="24"/>
                <w:lang w:eastAsia="es-MX"/>
              </w:rPr>
            </w:pPr>
            <w:r w:rsidRPr="00694E73">
              <w:rPr>
                <w:rFonts w:ascii="Times New Roman" w:eastAsia="Calibri" w:hAnsi="Times New Roman" w:cs="Times New Roman"/>
                <w:color w:val="000000"/>
                <w:sz w:val="24"/>
                <w:szCs w:val="24"/>
                <w:lang w:eastAsia="es-MX"/>
              </w:rPr>
              <w:t>92</w:t>
            </w:r>
          </w:p>
        </w:tc>
        <w:tc>
          <w:tcPr>
            <w:tcW w:w="1640" w:type="dxa"/>
            <w:tcBorders>
              <w:top w:val="nil"/>
              <w:left w:val="nil"/>
              <w:bottom w:val="single" w:sz="4" w:space="0" w:color="auto"/>
              <w:right w:val="single" w:sz="4" w:space="0" w:color="auto"/>
            </w:tcBorders>
            <w:shd w:val="clear" w:color="auto" w:fill="auto"/>
            <w:noWrap/>
            <w:vAlign w:val="center"/>
            <w:hideMark/>
          </w:tcPr>
          <w:p w:rsidR="00694E73" w:rsidRPr="00694E73" w:rsidRDefault="00694E73" w:rsidP="00694E73">
            <w:pPr>
              <w:spacing w:after="0" w:line="240" w:lineRule="auto"/>
              <w:jc w:val="center"/>
              <w:rPr>
                <w:rFonts w:ascii="Times New Roman" w:eastAsia="Calibri" w:hAnsi="Times New Roman" w:cs="Times New Roman"/>
                <w:color w:val="000000"/>
                <w:sz w:val="24"/>
                <w:szCs w:val="24"/>
                <w:lang w:eastAsia="es-MX"/>
              </w:rPr>
            </w:pPr>
            <w:r w:rsidRPr="00694E73">
              <w:rPr>
                <w:rFonts w:ascii="Times New Roman" w:eastAsia="Calibri" w:hAnsi="Times New Roman" w:cs="Times New Roman"/>
                <w:color w:val="000000"/>
                <w:sz w:val="24"/>
                <w:szCs w:val="24"/>
                <w:lang w:eastAsia="es-MX"/>
              </w:rPr>
              <w:t>N</w:t>
            </w:r>
            <w:r w:rsidR="00531446">
              <w:rPr>
                <w:rFonts w:ascii="Times New Roman" w:hAnsi="Times New Roman" w:cs="Times New Roman"/>
                <w:color w:val="000000"/>
                <w:sz w:val="24"/>
                <w:szCs w:val="24"/>
                <w:lang w:eastAsia="es-MX"/>
              </w:rPr>
              <w:t>o aplica</w:t>
            </w:r>
          </w:p>
        </w:tc>
      </w:tr>
      <w:tr w:rsidR="00694E73" w:rsidRPr="004668AF" w:rsidTr="00531446">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694E73" w:rsidRPr="00694E73" w:rsidRDefault="00694E73" w:rsidP="00694E73">
            <w:pPr>
              <w:spacing w:after="0" w:line="240" w:lineRule="auto"/>
              <w:jc w:val="center"/>
              <w:rPr>
                <w:rFonts w:ascii="Times New Roman" w:eastAsia="Calibri" w:hAnsi="Times New Roman" w:cs="Times New Roman"/>
                <w:color w:val="000000"/>
                <w:sz w:val="24"/>
                <w:szCs w:val="24"/>
                <w:lang w:eastAsia="es-MX"/>
              </w:rPr>
            </w:pPr>
            <w:r w:rsidRPr="00694E73">
              <w:rPr>
                <w:rFonts w:ascii="Times New Roman" w:eastAsia="Calibri" w:hAnsi="Times New Roman" w:cs="Times New Roman"/>
                <w:color w:val="000000"/>
                <w:sz w:val="24"/>
                <w:szCs w:val="24"/>
                <w:lang w:eastAsia="es-MX"/>
              </w:rPr>
              <w:t>B (método propuesto)</w:t>
            </w:r>
          </w:p>
        </w:tc>
        <w:tc>
          <w:tcPr>
            <w:tcW w:w="2024" w:type="dxa"/>
            <w:tcBorders>
              <w:top w:val="nil"/>
              <w:left w:val="nil"/>
              <w:bottom w:val="single" w:sz="4" w:space="0" w:color="auto"/>
              <w:right w:val="single" w:sz="4" w:space="0" w:color="auto"/>
            </w:tcBorders>
            <w:shd w:val="clear" w:color="auto" w:fill="auto"/>
            <w:noWrap/>
            <w:vAlign w:val="center"/>
            <w:hideMark/>
          </w:tcPr>
          <w:p w:rsidR="00694E73" w:rsidRPr="00694E73" w:rsidRDefault="00694E73" w:rsidP="00694E73">
            <w:pPr>
              <w:spacing w:after="0" w:line="240" w:lineRule="auto"/>
              <w:jc w:val="center"/>
              <w:rPr>
                <w:rFonts w:ascii="Times New Roman" w:eastAsia="Calibri" w:hAnsi="Times New Roman" w:cs="Times New Roman"/>
                <w:color w:val="000000"/>
                <w:sz w:val="24"/>
                <w:szCs w:val="24"/>
                <w:lang w:eastAsia="es-MX"/>
              </w:rPr>
            </w:pPr>
            <w:r w:rsidRPr="00694E73">
              <w:rPr>
                <w:rFonts w:ascii="Times New Roman" w:eastAsia="Calibri" w:hAnsi="Times New Roman" w:cs="Times New Roman"/>
                <w:color w:val="000000"/>
                <w:sz w:val="24"/>
                <w:szCs w:val="24"/>
                <w:lang w:eastAsia="es-MX"/>
              </w:rPr>
              <w:t>92</w:t>
            </w:r>
          </w:p>
        </w:tc>
        <w:tc>
          <w:tcPr>
            <w:tcW w:w="1640" w:type="dxa"/>
            <w:tcBorders>
              <w:top w:val="nil"/>
              <w:left w:val="nil"/>
              <w:bottom w:val="single" w:sz="4" w:space="0" w:color="auto"/>
              <w:right w:val="single" w:sz="4" w:space="0" w:color="auto"/>
            </w:tcBorders>
            <w:shd w:val="clear" w:color="auto" w:fill="auto"/>
            <w:noWrap/>
            <w:vAlign w:val="center"/>
            <w:hideMark/>
          </w:tcPr>
          <w:p w:rsidR="00694E73" w:rsidRPr="00694E73" w:rsidRDefault="00694E73" w:rsidP="00694E73">
            <w:pPr>
              <w:spacing w:after="0" w:line="240" w:lineRule="auto"/>
              <w:jc w:val="center"/>
              <w:rPr>
                <w:rFonts w:ascii="Times New Roman" w:eastAsia="Calibri" w:hAnsi="Times New Roman" w:cs="Times New Roman"/>
                <w:color w:val="000000"/>
                <w:sz w:val="24"/>
                <w:szCs w:val="24"/>
                <w:lang w:eastAsia="es-MX"/>
              </w:rPr>
            </w:pPr>
            <w:r w:rsidRPr="00694E73">
              <w:rPr>
                <w:rFonts w:ascii="Times New Roman" w:eastAsia="Calibri" w:hAnsi="Times New Roman" w:cs="Times New Roman"/>
                <w:color w:val="000000"/>
                <w:sz w:val="24"/>
                <w:szCs w:val="24"/>
                <w:lang w:eastAsia="es-MX"/>
              </w:rPr>
              <w:t>90</w:t>
            </w:r>
          </w:p>
        </w:tc>
        <w:tc>
          <w:tcPr>
            <w:tcW w:w="1640" w:type="dxa"/>
            <w:tcBorders>
              <w:top w:val="nil"/>
              <w:left w:val="nil"/>
              <w:bottom w:val="single" w:sz="4" w:space="0" w:color="auto"/>
              <w:right w:val="single" w:sz="4" w:space="0" w:color="auto"/>
            </w:tcBorders>
            <w:shd w:val="clear" w:color="auto" w:fill="auto"/>
            <w:noWrap/>
            <w:vAlign w:val="center"/>
            <w:hideMark/>
          </w:tcPr>
          <w:p w:rsidR="00694E73" w:rsidRPr="00694E73" w:rsidRDefault="00694E73" w:rsidP="00694E73">
            <w:pPr>
              <w:spacing w:after="0" w:line="240" w:lineRule="auto"/>
              <w:jc w:val="center"/>
              <w:rPr>
                <w:rFonts w:ascii="Times New Roman" w:eastAsia="Calibri" w:hAnsi="Times New Roman" w:cs="Times New Roman"/>
                <w:color w:val="000000"/>
                <w:sz w:val="24"/>
                <w:szCs w:val="24"/>
                <w:lang w:eastAsia="es-MX"/>
              </w:rPr>
            </w:pPr>
            <w:r w:rsidRPr="00694E73">
              <w:rPr>
                <w:rFonts w:ascii="Times New Roman" w:eastAsia="Calibri" w:hAnsi="Times New Roman" w:cs="Times New Roman"/>
                <w:color w:val="000000"/>
                <w:sz w:val="24"/>
                <w:szCs w:val="24"/>
                <w:lang w:eastAsia="es-MX"/>
              </w:rPr>
              <w:t>93</w:t>
            </w:r>
          </w:p>
        </w:tc>
        <w:tc>
          <w:tcPr>
            <w:tcW w:w="1640" w:type="dxa"/>
            <w:tcBorders>
              <w:top w:val="nil"/>
              <w:left w:val="nil"/>
              <w:bottom w:val="single" w:sz="4" w:space="0" w:color="auto"/>
              <w:right w:val="single" w:sz="4" w:space="0" w:color="auto"/>
            </w:tcBorders>
            <w:shd w:val="clear" w:color="auto" w:fill="auto"/>
            <w:noWrap/>
            <w:vAlign w:val="center"/>
            <w:hideMark/>
          </w:tcPr>
          <w:p w:rsidR="00694E73" w:rsidRPr="00694E73" w:rsidRDefault="00694E73" w:rsidP="00694E73">
            <w:pPr>
              <w:spacing w:after="0" w:line="240" w:lineRule="auto"/>
              <w:jc w:val="center"/>
              <w:rPr>
                <w:rFonts w:ascii="Times New Roman" w:eastAsia="Calibri" w:hAnsi="Times New Roman" w:cs="Times New Roman"/>
                <w:color w:val="000000"/>
                <w:sz w:val="24"/>
                <w:szCs w:val="24"/>
                <w:lang w:eastAsia="es-MX"/>
              </w:rPr>
            </w:pPr>
            <w:r w:rsidRPr="00694E73">
              <w:rPr>
                <w:rFonts w:ascii="Times New Roman" w:eastAsia="Calibri" w:hAnsi="Times New Roman" w:cs="Times New Roman"/>
                <w:color w:val="000000"/>
                <w:sz w:val="24"/>
                <w:szCs w:val="24"/>
                <w:lang w:eastAsia="es-MX"/>
              </w:rPr>
              <w:t>91</w:t>
            </w:r>
          </w:p>
        </w:tc>
      </w:tr>
    </w:tbl>
    <w:p w:rsidR="00B8319F" w:rsidRPr="00B8319F" w:rsidRDefault="00B8319F" w:rsidP="00694E73">
      <w:pPr>
        <w:spacing w:after="240" w:line="360" w:lineRule="auto"/>
        <w:jc w:val="center"/>
        <w:rPr>
          <w:rFonts w:ascii="Times New Roman" w:eastAsia="Times New Roman" w:hAnsi="Times New Roman" w:cs="Times New Roman"/>
          <w:i/>
          <w:iCs/>
          <w:sz w:val="24"/>
          <w:szCs w:val="24"/>
        </w:rPr>
      </w:pPr>
      <w:r w:rsidRPr="00B8319F">
        <w:rPr>
          <w:rFonts w:ascii="Times New Roman" w:eastAsia="Times New Roman" w:hAnsi="Times New Roman" w:cs="Times New Roman"/>
          <w:i/>
          <w:iCs/>
          <w:sz w:val="24"/>
          <w:szCs w:val="24"/>
        </w:rPr>
        <w:t xml:space="preserve">Tabla 2. Promedios de evaluaciones aplicadas por indicador en cada grupo. </w:t>
      </w:r>
    </w:p>
    <w:p w:rsidR="00734569" w:rsidRDefault="00734569" w:rsidP="00734569">
      <w:pPr>
        <w:spacing w:line="360" w:lineRule="auto"/>
        <w:jc w:val="both"/>
        <w:rPr>
          <w:rFonts w:ascii="Times New Roman" w:eastAsia="Calibri" w:hAnsi="Times New Roman" w:cs="Times New Roman"/>
          <w:sz w:val="24"/>
          <w:szCs w:val="24"/>
        </w:rPr>
      </w:pPr>
      <w:r w:rsidRPr="00B8319F">
        <w:rPr>
          <w:rFonts w:ascii="Times New Roman" w:eastAsia="Calibri" w:hAnsi="Times New Roman" w:cs="Times New Roman"/>
          <w:sz w:val="24"/>
          <w:szCs w:val="24"/>
        </w:rPr>
        <w:t>Los re</w:t>
      </w:r>
      <w:r>
        <w:rPr>
          <w:rFonts w:ascii="Times New Roman" w:eastAsia="Calibri" w:hAnsi="Times New Roman" w:cs="Times New Roman"/>
          <w:sz w:val="24"/>
          <w:szCs w:val="24"/>
        </w:rPr>
        <w:t>sultados presentaron un incremento considerable en cuanto a la rapidez de la memorización del código de colores así como a su retención a mediano plazo, as</w:t>
      </w:r>
      <w:r w:rsidR="004D79F1">
        <w:rPr>
          <w:rFonts w:ascii="Times New Roman" w:eastAsia="Calibri" w:hAnsi="Times New Roman" w:cs="Times New Roman"/>
          <w:sz w:val="24"/>
          <w:szCs w:val="24"/>
        </w:rPr>
        <w:t>i</w:t>
      </w:r>
      <w:r>
        <w:rPr>
          <w:rFonts w:ascii="Times New Roman" w:eastAsia="Calibri" w:hAnsi="Times New Roman" w:cs="Times New Roman"/>
          <w:sz w:val="24"/>
          <w:szCs w:val="24"/>
        </w:rPr>
        <w:t xml:space="preserve">mismo los alumnos obtuvieron una comprensión en el método mnemotécnico utilizado. En el caso del grupo A (el de control), se obtuvo una calificación promedio reprobatoria en cuanto a la memorización a corto plazo (62), mientras que en el grupo B (el de experimentación) los alumnos obtuvieron 92 en ese mismo rubro. </w:t>
      </w:r>
    </w:p>
    <w:p w:rsidR="00734569" w:rsidRDefault="00734569" w:rsidP="0073456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Los resultados del segundo examen mantuvieron la misma tendencia en el aspecto de memorización, aunque bajó un poco el rendimiento de ambos grupos. En cuanto a la comprensión de conceptos, la cual se centra en la técnica para calcular la resistencia del componente, el resultado de ambos grupos fue aproximadamente el mismo, por lo que el método mnemotécnico no tuvo influencia </w:t>
      </w:r>
      <w:r w:rsidR="004D79F1">
        <w:rPr>
          <w:rFonts w:ascii="Times New Roman" w:eastAsia="Calibri" w:hAnsi="Times New Roman" w:cs="Times New Roman"/>
          <w:sz w:val="24"/>
          <w:szCs w:val="24"/>
        </w:rPr>
        <w:t xml:space="preserve">en </w:t>
      </w:r>
      <w:r>
        <w:rPr>
          <w:rFonts w:ascii="Times New Roman" w:eastAsia="Calibri" w:hAnsi="Times New Roman" w:cs="Times New Roman"/>
          <w:sz w:val="24"/>
          <w:szCs w:val="24"/>
        </w:rPr>
        <w:t>ese parámetro.</w:t>
      </w:r>
    </w:p>
    <w:p w:rsidR="00531446" w:rsidRDefault="00531446" w:rsidP="00531446">
      <w:pPr>
        <w:spacing w:after="240" w:line="360" w:lineRule="auto"/>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La diferencia </w:t>
      </w:r>
      <w:r w:rsidR="00734569">
        <w:rPr>
          <w:rFonts w:ascii="Times New Roman" w:eastAsia="Calibri" w:hAnsi="Times New Roman" w:cs="Times New Roman"/>
          <w:bCs/>
          <w:iCs/>
          <w:sz w:val="24"/>
          <w:szCs w:val="24"/>
        </w:rPr>
        <w:t>más grande entre los resultados obtenidos por los grupos de control y experimentación se dio en la memorización a corto y mediano plazo</w:t>
      </w:r>
      <w:r w:rsidR="004D79F1">
        <w:rPr>
          <w:rFonts w:ascii="Times New Roman" w:eastAsia="Calibri" w:hAnsi="Times New Roman" w:cs="Times New Roman"/>
          <w:bCs/>
          <w:iCs/>
          <w:sz w:val="24"/>
          <w:szCs w:val="24"/>
        </w:rPr>
        <w:t>;</w:t>
      </w:r>
      <w:r w:rsidR="00734569">
        <w:rPr>
          <w:rFonts w:ascii="Times New Roman" w:eastAsia="Calibri" w:hAnsi="Times New Roman" w:cs="Times New Roman"/>
          <w:bCs/>
          <w:iCs/>
          <w:sz w:val="24"/>
          <w:szCs w:val="24"/>
        </w:rPr>
        <w:t xml:space="preserve"> por otro lado</w:t>
      </w:r>
      <w:r w:rsidR="004D79F1">
        <w:rPr>
          <w:rFonts w:ascii="Times New Roman" w:eastAsia="Calibri" w:hAnsi="Times New Roman" w:cs="Times New Roman"/>
          <w:bCs/>
          <w:iCs/>
          <w:sz w:val="24"/>
          <w:szCs w:val="24"/>
        </w:rPr>
        <w:t>,</w:t>
      </w:r>
      <w:r w:rsidR="00734569">
        <w:rPr>
          <w:rFonts w:ascii="Times New Roman" w:eastAsia="Calibri" w:hAnsi="Times New Roman" w:cs="Times New Roman"/>
          <w:bCs/>
          <w:iCs/>
          <w:sz w:val="24"/>
          <w:szCs w:val="24"/>
        </w:rPr>
        <w:t xml:space="preserve"> la comprensión de los conceptos así como las reglas para determinar el valor de las resistencias fueron similares, mientras que la comprensión del método para relacionar conceptos constituyó la parte más importante de la propuesta, ya que le permitió al alumno utilizar estas técnicas para la relación de ideas, simbolismos y definiciones al afrontar diversos problemas de su entorno.</w:t>
      </w:r>
    </w:p>
    <w:p w:rsidR="00734569" w:rsidRPr="006960AB" w:rsidRDefault="00734569" w:rsidP="00734569">
      <w:pPr>
        <w:spacing w:after="240" w:line="360" w:lineRule="auto"/>
        <w:jc w:val="both"/>
        <w:rPr>
          <w:rFonts w:ascii="Arial" w:eastAsia="Calibri" w:hAnsi="Arial" w:cs="Arial"/>
          <w:bCs/>
          <w:iCs/>
        </w:rPr>
      </w:pPr>
      <w:r>
        <w:rPr>
          <w:rFonts w:ascii="Times New Roman" w:eastAsia="Calibri" w:hAnsi="Times New Roman" w:cs="Times New Roman"/>
          <w:sz w:val="24"/>
          <w:szCs w:val="24"/>
        </w:rPr>
        <w:lastRenderedPageBreak/>
        <w:t xml:space="preserve">Aunque se trabajó con </w:t>
      </w:r>
      <w:r w:rsidRPr="00B8319F">
        <w:rPr>
          <w:rFonts w:ascii="Times New Roman" w:eastAsia="Calibri" w:hAnsi="Times New Roman" w:cs="Times New Roman"/>
          <w:sz w:val="24"/>
          <w:szCs w:val="24"/>
        </w:rPr>
        <w:t xml:space="preserve">grupos </w:t>
      </w:r>
      <w:r>
        <w:rPr>
          <w:rFonts w:ascii="Times New Roman" w:eastAsia="Calibri" w:hAnsi="Times New Roman" w:cs="Times New Roman"/>
          <w:sz w:val="24"/>
          <w:szCs w:val="24"/>
        </w:rPr>
        <w:t>ya establecidos por el Departamento de Servicios Escolares de la UTA, los alumnos que los conforman poseen</w:t>
      </w:r>
      <w:r w:rsidRPr="00B8319F">
        <w:rPr>
          <w:rFonts w:ascii="Times New Roman" w:eastAsia="Calibri" w:hAnsi="Times New Roman" w:cs="Times New Roman"/>
          <w:sz w:val="24"/>
          <w:szCs w:val="24"/>
        </w:rPr>
        <w:t xml:space="preserve"> características similares, </w:t>
      </w:r>
      <w:r w:rsidR="00993408">
        <w:rPr>
          <w:rFonts w:ascii="Times New Roman" w:eastAsia="Calibri" w:hAnsi="Times New Roman" w:cs="Times New Roman"/>
          <w:sz w:val="24"/>
          <w:szCs w:val="24"/>
        </w:rPr>
        <w:t xml:space="preserve">por lo que </w:t>
      </w:r>
      <w:r w:rsidRPr="00B8319F">
        <w:rPr>
          <w:rFonts w:ascii="Times New Roman" w:eastAsia="Calibri" w:hAnsi="Times New Roman" w:cs="Times New Roman"/>
          <w:sz w:val="24"/>
          <w:szCs w:val="24"/>
        </w:rPr>
        <w:t xml:space="preserve">los resultados obtenidos en la investigación </w:t>
      </w:r>
      <w:r w:rsidR="00993408">
        <w:rPr>
          <w:rFonts w:ascii="Times New Roman" w:eastAsia="Calibri" w:hAnsi="Times New Roman" w:cs="Times New Roman"/>
          <w:sz w:val="24"/>
          <w:szCs w:val="24"/>
        </w:rPr>
        <w:t>sugieren</w:t>
      </w:r>
      <w:r>
        <w:rPr>
          <w:rFonts w:ascii="Times New Roman" w:eastAsia="Calibri" w:hAnsi="Times New Roman" w:cs="Times New Roman"/>
          <w:sz w:val="24"/>
          <w:szCs w:val="24"/>
        </w:rPr>
        <w:t xml:space="preserve"> que las técnicas mnemotécnicas tuvieron éxito</w:t>
      </w:r>
      <w:r w:rsidRPr="00B8319F">
        <w:rPr>
          <w:rFonts w:ascii="Times New Roman" w:eastAsia="Calibri" w:hAnsi="Times New Roman" w:cs="Times New Roman"/>
          <w:sz w:val="24"/>
          <w:szCs w:val="24"/>
        </w:rPr>
        <w:t xml:space="preserve"> en</w:t>
      </w:r>
      <w:r>
        <w:rPr>
          <w:rFonts w:ascii="Times New Roman" w:eastAsia="Calibri" w:hAnsi="Times New Roman" w:cs="Times New Roman"/>
          <w:sz w:val="24"/>
          <w:szCs w:val="24"/>
        </w:rPr>
        <w:t xml:space="preserve"> el desempeño académico de los alumnos con relación al aprendizaje del código de colores de las resistencias</w:t>
      </w:r>
      <w:r w:rsidRPr="00B8319F">
        <w:rPr>
          <w:rFonts w:ascii="Times New Roman" w:eastAsia="Calibri" w:hAnsi="Times New Roman" w:cs="Times New Roman"/>
          <w:sz w:val="24"/>
          <w:szCs w:val="24"/>
        </w:rPr>
        <w:t>.</w:t>
      </w:r>
    </w:p>
    <w:p w:rsidR="000B0656" w:rsidRPr="003F41C1" w:rsidRDefault="00AE337F" w:rsidP="003F41C1">
      <w:pPr>
        <w:spacing w:after="0"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Bibliografía</w:t>
      </w:r>
    </w:p>
    <w:p w:rsidR="004C577A" w:rsidRPr="00AE337F" w:rsidRDefault="004C577A" w:rsidP="00AE337F">
      <w:pPr>
        <w:pStyle w:val="Bibliografa"/>
        <w:overflowPunct/>
        <w:autoSpaceDE/>
        <w:autoSpaceDN/>
        <w:adjustRightInd/>
        <w:spacing w:after="240" w:line="360" w:lineRule="auto"/>
        <w:ind w:left="720" w:hanging="720"/>
        <w:textAlignment w:val="auto"/>
        <w:rPr>
          <w:rFonts w:eastAsia="Calibri"/>
          <w:noProof/>
          <w:szCs w:val="24"/>
          <w:lang w:val="es-MX" w:eastAsia="en-US"/>
        </w:rPr>
      </w:pPr>
      <w:r w:rsidRPr="00AE337F">
        <w:rPr>
          <w:rFonts w:eastAsia="Calibri"/>
          <w:noProof/>
          <w:szCs w:val="24"/>
          <w:lang w:val="es-MX" w:eastAsia="en-US"/>
        </w:rPr>
        <w:t xml:space="preserve">Amen, D.G. (2009). </w:t>
      </w:r>
      <w:r w:rsidRPr="00AE337F">
        <w:rPr>
          <w:rFonts w:eastAsia="Calibri"/>
          <w:i/>
          <w:noProof/>
          <w:szCs w:val="24"/>
          <w:lang w:val="es-MX" w:eastAsia="en-US"/>
        </w:rPr>
        <w:t>Cambia tu cerebro, cambia tu cuerpo</w:t>
      </w:r>
      <w:r w:rsidRPr="00AE337F">
        <w:rPr>
          <w:rFonts w:eastAsia="Calibri"/>
          <w:noProof/>
          <w:szCs w:val="24"/>
          <w:lang w:val="es-MX" w:eastAsia="en-US"/>
        </w:rPr>
        <w:t>. España: Editorial Sirio S.A.</w:t>
      </w:r>
    </w:p>
    <w:p w:rsidR="009B1F70" w:rsidRPr="00AE337F" w:rsidRDefault="009B1F70" w:rsidP="00AE337F">
      <w:pPr>
        <w:spacing w:line="360" w:lineRule="auto"/>
        <w:jc w:val="both"/>
        <w:rPr>
          <w:rFonts w:ascii="Times New Roman" w:eastAsia="Calibri" w:hAnsi="Times New Roman" w:cs="Times New Roman"/>
          <w:noProof/>
          <w:sz w:val="24"/>
          <w:szCs w:val="24"/>
        </w:rPr>
      </w:pPr>
      <w:r w:rsidRPr="00AE337F">
        <w:rPr>
          <w:rFonts w:ascii="Times New Roman" w:eastAsia="Calibri" w:hAnsi="Times New Roman" w:cs="Times New Roman"/>
          <w:noProof/>
          <w:sz w:val="24"/>
          <w:szCs w:val="24"/>
        </w:rPr>
        <w:t xml:space="preserve">Butler-Bowdon, T. (2007). </w:t>
      </w:r>
      <w:r w:rsidRPr="00AE337F">
        <w:rPr>
          <w:rFonts w:ascii="Times New Roman" w:eastAsia="Calibri" w:hAnsi="Times New Roman" w:cs="Times New Roman"/>
          <w:i/>
          <w:noProof/>
          <w:sz w:val="24"/>
          <w:szCs w:val="24"/>
        </w:rPr>
        <w:t>50 clásicos de la Psicología</w:t>
      </w:r>
      <w:r w:rsidRPr="00AE337F">
        <w:rPr>
          <w:rFonts w:ascii="Times New Roman" w:eastAsia="Calibri" w:hAnsi="Times New Roman" w:cs="Times New Roman"/>
          <w:noProof/>
          <w:sz w:val="24"/>
          <w:szCs w:val="24"/>
        </w:rPr>
        <w:t>. España: Editorial Sirio S.A.</w:t>
      </w:r>
    </w:p>
    <w:p w:rsidR="00272685" w:rsidRPr="00AE337F" w:rsidRDefault="00ED2C02" w:rsidP="00AE337F">
      <w:pPr>
        <w:pStyle w:val="Bibliografa"/>
        <w:overflowPunct/>
        <w:autoSpaceDE/>
        <w:autoSpaceDN/>
        <w:adjustRightInd/>
        <w:spacing w:after="240" w:line="360" w:lineRule="auto"/>
        <w:ind w:left="720" w:hanging="720"/>
        <w:textAlignment w:val="auto"/>
        <w:rPr>
          <w:rFonts w:eastAsia="Calibri"/>
          <w:noProof/>
          <w:szCs w:val="24"/>
          <w:lang w:val="es-MX" w:eastAsia="en-US"/>
        </w:rPr>
      </w:pPr>
      <w:r w:rsidRPr="00AE337F">
        <w:rPr>
          <w:rFonts w:eastAsia="Calibri"/>
          <w:noProof/>
          <w:szCs w:val="24"/>
          <w:lang w:val="es-MX" w:eastAsia="en-US"/>
        </w:rPr>
        <w:t>Chamorro</w:t>
      </w:r>
      <w:r w:rsidR="00272685" w:rsidRPr="00AE337F">
        <w:rPr>
          <w:rFonts w:eastAsia="Calibri"/>
          <w:noProof/>
          <w:szCs w:val="24"/>
          <w:lang w:val="es-MX" w:eastAsia="en-US"/>
        </w:rPr>
        <w:t xml:space="preserve">, M.C. (2005). </w:t>
      </w:r>
      <w:r w:rsidR="00272685" w:rsidRPr="00AE337F">
        <w:rPr>
          <w:rFonts w:eastAsia="Calibri"/>
          <w:i/>
          <w:noProof/>
          <w:szCs w:val="24"/>
          <w:lang w:val="es-MX" w:eastAsia="en-US"/>
        </w:rPr>
        <w:t>Didáctica de las Matemáticas</w:t>
      </w:r>
      <w:r w:rsidR="00272685" w:rsidRPr="00AE337F">
        <w:rPr>
          <w:rFonts w:eastAsia="Calibri"/>
          <w:noProof/>
          <w:szCs w:val="24"/>
          <w:lang w:val="es-MX" w:eastAsia="en-US"/>
        </w:rPr>
        <w:t xml:space="preserve">. España: Editorial </w:t>
      </w:r>
      <w:r w:rsidR="002831BE" w:rsidRPr="00AE337F">
        <w:rPr>
          <w:rFonts w:eastAsia="Calibri"/>
          <w:noProof/>
          <w:szCs w:val="24"/>
          <w:lang w:val="es-MX" w:eastAsia="en-US"/>
        </w:rPr>
        <w:t>P</w:t>
      </w:r>
      <w:r w:rsidR="00272685" w:rsidRPr="00AE337F">
        <w:rPr>
          <w:rFonts w:eastAsia="Calibri"/>
          <w:noProof/>
          <w:szCs w:val="24"/>
          <w:lang w:val="es-MX" w:eastAsia="en-US"/>
        </w:rPr>
        <w:t>earson Educación S.A.</w:t>
      </w:r>
    </w:p>
    <w:p w:rsidR="00CB5311" w:rsidRPr="00AE337F" w:rsidRDefault="00272685" w:rsidP="00AE337F">
      <w:pPr>
        <w:pStyle w:val="Bibliografa"/>
        <w:overflowPunct/>
        <w:autoSpaceDE/>
        <w:autoSpaceDN/>
        <w:adjustRightInd/>
        <w:spacing w:line="360" w:lineRule="auto"/>
        <w:ind w:left="720" w:hanging="720"/>
        <w:textAlignment w:val="auto"/>
        <w:rPr>
          <w:rFonts w:eastAsia="Calibri"/>
          <w:noProof/>
          <w:szCs w:val="24"/>
          <w:lang w:val="es-MX" w:eastAsia="en-US"/>
        </w:rPr>
      </w:pPr>
      <w:r w:rsidRPr="00AE337F">
        <w:rPr>
          <w:rFonts w:eastAsia="Calibri"/>
          <w:noProof/>
          <w:szCs w:val="24"/>
          <w:lang w:val="es-MX" w:eastAsia="en-US"/>
        </w:rPr>
        <w:t>CGUTyP (2016</w:t>
      </w:r>
      <w:r w:rsidR="00CB5311" w:rsidRPr="00AE337F">
        <w:rPr>
          <w:rFonts w:eastAsia="Calibri"/>
          <w:noProof/>
          <w:szCs w:val="24"/>
          <w:lang w:val="es-MX" w:eastAsia="en-US"/>
        </w:rPr>
        <w:t>). Coordinación General de Universidades Tecnológicas y Polité</w:t>
      </w:r>
      <w:r w:rsidRPr="00AE337F">
        <w:rPr>
          <w:rFonts w:eastAsia="Calibri"/>
          <w:noProof/>
          <w:szCs w:val="24"/>
          <w:lang w:val="es-MX" w:eastAsia="en-US"/>
        </w:rPr>
        <w:t xml:space="preserve">cnicas. </w:t>
      </w:r>
      <w:r w:rsidR="00BD1854" w:rsidRPr="00AE337F">
        <w:rPr>
          <w:rFonts w:eastAsia="Calibri"/>
          <w:noProof/>
          <w:szCs w:val="24"/>
          <w:lang w:val="es-MX" w:eastAsia="en-US"/>
        </w:rPr>
        <w:t>C</w:t>
      </w:r>
      <w:r w:rsidR="00DA2EDB" w:rsidRPr="00AE337F">
        <w:rPr>
          <w:rFonts w:eastAsia="Calibri"/>
          <w:noProof/>
          <w:szCs w:val="24"/>
          <w:lang w:val="es-MX" w:eastAsia="en-US"/>
        </w:rPr>
        <w:t>onsultado el 4/02</w:t>
      </w:r>
      <w:r w:rsidRPr="00AE337F">
        <w:rPr>
          <w:rFonts w:eastAsia="Calibri"/>
          <w:noProof/>
          <w:szCs w:val="24"/>
          <w:lang w:val="es-MX" w:eastAsia="en-US"/>
        </w:rPr>
        <w:t>/2016</w:t>
      </w:r>
      <w:r w:rsidR="00CB5311" w:rsidRPr="00AE337F">
        <w:rPr>
          <w:rFonts w:eastAsia="Calibri"/>
          <w:noProof/>
          <w:szCs w:val="24"/>
          <w:lang w:val="es-MX" w:eastAsia="en-US"/>
        </w:rPr>
        <w:t xml:space="preserve"> de</w:t>
      </w:r>
      <w:r w:rsidR="00A37318" w:rsidRPr="00AE337F">
        <w:rPr>
          <w:rFonts w:eastAsia="Calibri"/>
          <w:noProof/>
          <w:szCs w:val="24"/>
          <w:lang w:val="es-MX" w:eastAsia="en-US"/>
        </w:rPr>
        <w:t>l website</w:t>
      </w:r>
      <w:r w:rsidR="00CB5311" w:rsidRPr="00AE337F">
        <w:rPr>
          <w:rFonts w:eastAsia="Calibri"/>
          <w:noProof/>
          <w:szCs w:val="24"/>
          <w:lang w:val="es-MX" w:eastAsia="en-US"/>
        </w:rPr>
        <w:t>:</w:t>
      </w:r>
    </w:p>
    <w:p w:rsidR="00CB5311" w:rsidRPr="00AE337F" w:rsidRDefault="00CB5311" w:rsidP="00AE337F">
      <w:pPr>
        <w:spacing w:after="240" w:line="360" w:lineRule="auto"/>
        <w:jc w:val="both"/>
        <w:rPr>
          <w:rFonts w:ascii="Times New Roman" w:hAnsi="Times New Roman" w:cs="Times New Roman"/>
          <w:sz w:val="24"/>
          <w:szCs w:val="24"/>
          <w:lang w:val="es-ES"/>
        </w:rPr>
      </w:pPr>
      <w:r w:rsidRPr="00AE337F">
        <w:rPr>
          <w:rFonts w:ascii="Times New Roman" w:hAnsi="Times New Roman" w:cs="Times New Roman"/>
          <w:sz w:val="24"/>
          <w:szCs w:val="24"/>
          <w:lang w:val="es-ES"/>
        </w:rPr>
        <w:tab/>
      </w:r>
      <w:hyperlink r:id="rId10" w:history="1">
        <w:r w:rsidR="005D7BE8" w:rsidRPr="00AE337F">
          <w:rPr>
            <w:rStyle w:val="Hipervnculo"/>
            <w:rFonts w:ascii="Times New Roman" w:hAnsi="Times New Roman" w:cs="Times New Roman"/>
            <w:sz w:val="24"/>
            <w:szCs w:val="24"/>
            <w:lang w:val="es-ES"/>
          </w:rPr>
          <w:t>http://www.cgut.sep.gob.mx</w:t>
        </w:r>
      </w:hyperlink>
    </w:p>
    <w:p w:rsidR="00ED2C02" w:rsidRPr="00AE337F" w:rsidRDefault="00ED2C02" w:rsidP="00AE337F">
      <w:pPr>
        <w:spacing w:after="240" w:line="360" w:lineRule="auto"/>
        <w:jc w:val="both"/>
        <w:rPr>
          <w:rFonts w:ascii="Times New Roman" w:eastAsia="Calibri" w:hAnsi="Times New Roman" w:cs="Times New Roman"/>
          <w:noProof/>
          <w:sz w:val="24"/>
          <w:szCs w:val="24"/>
        </w:rPr>
      </w:pPr>
      <w:r w:rsidRPr="00AE337F">
        <w:rPr>
          <w:rFonts w:ascii="Times New Roman" w:eastAsia="Calibri" w:hAnsi="Times New Roman" w:cs="Times New Roman"/>
          <w:noProof/>
          <w:sz w:val="24"/>
          <w:szCs w:val="24"/>
          <w:lang w:val="es-ES"/>
        </w:rPr>
        <w:t>Duyn, J.H., Gelderen, P., Tie-Quiang, L.,  Zwart, J.A., Koretsky, A.P. y Fukunaga, M.</w:t>
      </w:r>
      <w:r w:rsidR="00973B81" w:rsidRPr="00AE337F">
        <w:rPr>
          <w:rFonts w:ascii="Times New Roman" w:eastAsia="Calibri" w:hAnsi="Times New Roman" w:cs="Times New Roman"/>
          <w:noProof/>
          <w:sz w:val="24"/>
          <w:szCs w:val="24"/>
          <w:lang w:val="es-ES"/>
        </w:rPr>
        <w:t xml:space="preserve"> </w:t>
      </w:r>
      <w:r w:rsidR="00973B81" w:rsidRPr="00AE337F">
        <w:rPr>
          <w:rFonts w:ascii="Times New Roman" w:eastAsia="Calibri" w:hAnsi="Times New Roman" w:cs="Times New Roman"/>
          <w:noProof/>
          <w:sz w:val="24"/>
          <w:szCs w:val="24"/>
          <w:lang w:val="es-ES"/>
        </w:rPr>
        <w:tab/>
      </w:r>
      <w:r w:rsidRPr="00AE337F">
        <w:rPr>
          <w:rFonts w:ascii="Times New Roman" w:eastAsia="Calibri" w:hAnsi="Times New Roman" w:cs="Times New Roman"/>
          <w:noProof/>
          <w:sz w:val="24"/>
          <w:szCs w:val="24"/>
        </w:rPr>
        <w:t xml:space="preserve">(2007). </w:t>
      </w:r>
      <w:r w:rsidRPr="00AE337F">
        <w:rPr>
          <w:rFonts w:ascii="Times New Roman" w:eastAsia="Calibri" w:hAnsi="Times New Roman" w:cs="Times New Roman"/>
          <w:noProof/>
          <w:sz w:val="24"/>
          <w:szCs w:val="24"/>
          <w:lang w:val="en-US"/>
        </w:rPr>
        <w:t>High-field MRI of brain cortical subs</w:t>
      </w:r>
      <w:r w:rsidR="00973B81" w:rsidRPr="00AE337F">
        <w:rPr>
          <w:rFonts w:ascii="Times New Roman" w:eastAsia="Calibri" w:hAnsi="Times New Roman" w:cs="Times New Roman"/>
          <w:noProof/>
          <w:sz w:val="24"/>
          <w:szCs w:val="24"/>
          <w:lang w:val="en-US"/>
        </w:rPr>
        <w:t xml:space="preserve">tructure based on signal phase. </w:t>
      </w:r>
      <w:r w:rsidR="0025009A" w:rsidRPr="00AE337F">
        <w:rPr>
          <w:rFonts w:ascii="Times New Roman" w:eastAsia="Calibri" w:hAnsi="Times New Roman" w:cs="Times New Roman"/>
          <w:i/>
          <w:noProof/>
          <w:sz w:val="24"/>
          <w:szCs w:val="24"/>
          <w:lang w:val="en-US"/>
        </w:rPr>
        <w:t xml:space="preserve">National </w:t>
      </w:r>
      <w:r w:rsidR="00973B81" w:rsidRPr="00AE337F">
        <w:rPr>
          <w:rFonts w:ascii="Times New Roman" w:eastAsia="Calibri" w:hAnsi="Times New Roman" w:cs="Times New Roman"/>
          <w:i/>
          <w:noProof/>
          <w:sz w:val="24"/>
          <w:szCs w:val="24"/>
          <w:lang w:val="en-US"/>
        </w:rPr>
        <w:tab/>
        <w:t>Aca</w:t>
      </w:r>
      <w:r w:rsidR="0025009A" w:rsidRPr="00AE337F">
        <w:rPr>
          <w:rFonts w:ascii="Times New Roman" w:eastAsia="Calibri" w:hAnsi="Times New Roman" w:cs="Times New Roman"/>
          <w:i/>
          <w:noProof/>
          <w:sz w:val="24"/>
          <w:szCs w:val="24"/>
          <w:lang w:val="en-US"/>
        </w:rPr>
        <w:t>demy of Sciences of the United States of America</w:t>
      </w:r>
      <w:r w:rsidR="0025009A" w:rsidRPr="00AE337F">
        <w:rPr>
          <w:rFonts w:ascii="Times New Roman" w:eastAsia="Calibri" w:hAnsi="Times New Roman" w:cs="Times New Roman"/>
          <w:noProof/>
          <w:sz w:val="24"/>
          <w:szCs w:val="24"/>
          <w:lang w:val="en-US"/>
        </w:rPr>
        <w:t xml:space="preserve">. </w:t>
      </w:r>
      <w:r w:rsidRPr="00AE337F">
        <w:rPr>
          <w:rFonts w:ascii="Times New Roman" w:eastAsia="Calibri" w:hAnsi="Times New Roman" w:cs="Times New Roman"/>
          <w:noProof/>
          <w:sz w:val="24"/>
          <w:szCs w:val="24"/>
        </w:rPr>
        <w:t>104</w:t>
      </w:r>
      <w:r w:rsidR="00973B81" w:rsidRPr="00AE337F">
        <w:rPr>
          <w:rFonts w:ascii="Times New Roman" w:eastAsia="Calibri" w:hAnsi="Times New Roman" w:cs="Times New Roman"/>
          <w:noProof/>
          <w:sz w:val="24"/>
          <w:szCs w:val="24"/>
        </w:rPr>
        <w:t>(</w:t>
      </w:r>
      <w:r w:rsidRPr="00AE337F">
        <w:rPr>
          <w:rFonts w:ascii="Times New Roman" w:eastAsia="Calibri" w:hAnsi="Times New Roman" w:cs="Times New Roman"/>
          <w:noProof/>
          <w:sz w:val="24"/>
          <w:szCs w:val="24"/>
        </w:rPr>
        <w:t>28</w:t>
      </w:r>
      <w:r w:rsidR="00973B81" w:rsidRPr="00AE337F">
        <w:rPr>
          <w:rFonts w:ascii="Times New Roman" w:eastAsia="Calibri" w:hAnsi="Times New Roman" w:cs="Times New Roman"/>
          <w:noProof/>
          <w:sz w:val="24"/>
          <w:szCs w:val="24"/>
        </w:rPr>
        <w:t>)</w:t>
      </w:r>
      <w:r w:rsidRPr="00AE337F">
        <w:rPr>
          <w:rFonts w:ascii="Times New Roman" w:eastAsia="Calibri" w:hAnsi="Times New Roman" w:cs="Times New Roman"/>
          <w:noProof/>
          <w:sz w:val="24"/>
          <w:szCs w:val="24"/>
        </w:rPr>
        <w:t>, 11796-11801.</w:t>
      </w:r>
    </w:p>
    <w:p w:rsidR="00DF08D8" w:rsidRPr="00AE337F" w:rsidRDefault="00DF08D8" w:rsidP="00AE337F">
      <w:pPr>
        <w:spacing w:after="240" w:line="360" w:lineRule="auto"/>
        <w:jc w:val="both"/>
        <w:rPr>
          <w:rFonts w:ascii="Times New Roman" w:eastAsia="Calibri" w:hAnsi="Times New Roman" w:cs="Times New Roman"/>
          <w:noProof/>
          <w:sz w:val="24"/>
          <w:szCs w:val="24"/>
        </w:rPr>
      </w:pPr>
      <w:r w:rsidRPr="00AE337F">
        <w:rPr>
          <w:rFonts w:ascii="Times New Roman" w:eastAsia="Calibri" w:hAnsi="Times New Roman" w:cs="Times New Roman"/>
          <w:noProof/>
          <w:sz w:val="24"/>
          <w:szCs w:val="24"/>
        </w:rPr>
        <w:t>Franckowiak, R.S.J. (2005). Human brain function. San Diego: Elsevier Science.</w:t>
      </w:r>
    </w:p>
    <w:p w:rsidR="00BD1854" w:rsidRPr="00AE337F" w:rsidRDefault="00BD1854" w:rsidP="00AE337F">
      <w:pPr>
        <w:spacing w:after="240" w:line="360" w:lineRule="auto"/>
        <w:jc w:val="both"/>
        <w:rPr>
          <w:rFonts w:ascii="Times New Roman" w:eastAsia="Calibri" w:hAnsi="Times New Roman" w:cs="Times New Roman"/>
          <w:noProof/>
          <w:sz w:val="24"/>
          <w:szCs w:val="24"/>
          <w:lang w:val="es-ES"/>
        </w:rPr>
      </w:pPr>
      <w:r w:rsidRPr="00AE337F">
        <w:rPr>
          <w:rFonts w:ascii="Times New Roman" w:eastAsia="Calibri" w:hAnsi="Times New Roman" w:cs="Times New Roman"/>
          <w:noProof/>
          <w:sz w:val="24"/>
          <w:szCs w:val="24"/>
        </w:rPr>
        <w:t>Gamon</w:t>
      </w:r>
      <w:r w:rsidR="00ED2C02" w:rsidRPr="00AE337F">
        <w:rPr>
          <w:rFonts w:ascii="Times New Roman" w:eastAsia="Calibri" w:hAnsi="Times New Roman" w:cs="Times New Roman"/>
          <w:noProof/>
          <w:sz w:val="24"/>
          <w:szCs w:val="24"/>
        </w:rPr>
        <w:t>,</w:t>
      </w:r>
      <w:r w:rsidRPr="00AE337F">
        <w:rPr>
          <w:rFonts w:ascii="Times New Roman" w:eastAsia="Calibri" w:hAnsi="Times New Roman" w:cs="Times New Roman"/>
          <w:noProof/>
          <w:sz w:val="24"/>
          <w:szCs w:val="24"/>
        </w:rPr>
        <w:t xml:space="preserve"> D. y Bragdon</w:t>
      </w:r>
      <w:r w:rsidR="00ED2C02" w:rsidRPr="00AE337F">
        <w:rPr>
          <w:rFonts w:ascii="Times New Roman" w:eastAsia="Calibri" w:hAnsi="Times New Roman" w:cs="Times New Roman"/>
          <w:noProof/>
          <w:sz w:val="24"/>
          <w:szCs w:val="24"/>
        </w:rPr>
        <w:t>,</w:t>
      </w:r>
      <w:r w:rsidR="001D07EE" w:rsidRPr="00AE337F">
        <w:rPr>
          <w:rFonts w:ascii="Times New Roman" w:eastAsia="Calibri" w:hAnsi="Times New Roman" w:cs="Times New Roman"/>
          <w:noProof/>
          <w:sz w:val="24"/>
          <w:szCs w:val="24"/>
        </w:rPr>
        <w:t xml:space="preserve"> A. (2008). E</w:t>
      </w:r>
      <w:r w:rsidRPr="00AE337F">
        <w:rPr>
          <w:rFonts w:ascii="Times New Roman" w:eastAsia="Calibri" w:hAnsi="Times New Roman" w:cs="Times New Roman"/>
          <w:noProof/>
          <w:sz w:val="24"/>
          <w:szCs w:val="24"/>
        </w:rPr>
        <w:t>jercicios intel</w:t>
      </w:r>
      <w:r w:rsidRPr="00AE337F">
        <w:rPr>
          <w:rFonts w:ascii="Times New Roman" w:eastAsia="Calibri" w:hAnsi="Times New Roman" w:cs="Times New Roman"/>
          <w:noProof/>
          <w:sz w:val="24"/>
          <w:szCs w:val="24"/>
          <w:lang w:val="es-ES"/>
        </w:rPr>
        <w:t xml:space="preserve">igentes. Ejercicios de acondicionamiento </w:t>
      </w:r>
      <w:r w:rsidR="00797D79" w:rsidRPr="00AE337F">
        <w:rPr>
          <w:rFonts w:ascii="Times New Roman" w:eastAsia="Calibri" w:hAnsi="Times New Roman" w:cs="Times New Roman"/>
          <w:noProof/>
          <w:sz w:val="24"/>
          <w:szCs w:val="24"/>
          <w:lang w:val="es-ES"/>
        </w:rPr>
        <w:tab/>
      </w:r>
      <w:r w:rsidRPr="00AE337F">
        <w:rPr>
          <w:rFonts w:ascii="Times New Roman" w:eastAsia="Calibri" w:hAnsi="Times New Roman" w:cs="Times New Roman"/>
          <w:noProof/>
          <w:sz w:val="24"/>
          <w:szCs w:val="24"/>
          <w:lang w:val="es-ES"/>
        </w:rPr>
        <w:t>para los seis tipos de inteligencia. México: Grupo Editorial Tomo S.A. de C.V.</w:t>
      </w:r>
    </w:p>
    <w:p w:rsidR="001D07EE" w:rsidRPr="00AE337F" w:rsidRDefault="001D07EE" w:rsidP="00AE337F">
      <w:pPr>
        <w:spacing w:after="240" w:line="360" w:lineRule="auto"/>
        <w:jc w:val="both"/>
        <w:rPr>
          <w:rFonts w:ascii="Times New Roman" w:eastAsia="Calibri" w:hAnsi="Times New Roman" w:cs="Times New Roman"/>
          <w:noProof/>
          <w:sz w:val="24"/>
          <w:szCs w:val="24"/>
          <w:lang w:val="en-US"/>
        </w:rPr>
      </w:pPr>
      <w:r w:rsidRPr="00AE337F">
        <w:rPr>
          <w:rFonts w:ascii="Times New Roman" w:eastAsia="Calibri" w:hAnsi="Times New Roman" w:cs="Times New Roman"/>
          <w:noProof/>
          <w:sz w:val="24"/>
          <w:szCs w:val="24"/>
        </w:rPr>
        <w:t xml:space="preserve">Goleman, </w:t>
      </w:r>
      <w:r w:rsidRPr="00AE337F">
        <w:rPr>
          <w:rFonts w:ascii="Times New Roman" w:eastAsia="Calibri" w:hAnsi="Times New Roman" w:cs="Times New Roman"/>
          <w:noProof/>
          <w:sz w:val="24"/>
          <w:szCs w:val="24"/>
          <w:lang w:val="en-US"/>
        </w:rPr>
        <w:t>D. (2008). La inteligencia emocional. México: Editorial Javier Vergara.</w:t>
      </w:r>
    </w:p>
    <w:p w:rsidR="00DF08D8" w:rsidRPr="00AE337F" w:rsidRDefault="00DF08D8" w:rsidP="00AE337F">
      <w:pPr>
        <w:spacing w:after="0" w:line="360" w:lineRule="auto"/>
        <w:jc w:val="both"/>
        <w:rPr>
          <w:rFonts w:ascii="Times New Roman" w:eastAsia="Calibri" w:hAnsi="Times New Roman" w:cs="Times New Roman"/>
          <w:noProof/>
          <w:sz w:val="24"/>
          <w:szCs w:val="24"/>
          <w:lang w:val="en-US"/>
        </w:rPr>
      </w:pPr>
      <w:r w:rsidRPr="00AE337F">
        <w:rPr>
          <w:rFonts w:ascii="Times New Roman" w:eastAsia="Calibri" w:hAnsi="Times New Roman" w:cs="Times New Roman"/>
          <w:noProof/>
          <w:sz w:val="24"/>
          <w:szCs w:val="24"/>
          <w:lang w:val="en-US"/>
        </w:rPr>
        <w:t xml:space="preserve">Jones, D. (2007). Legal education in the Age of Cognitive Science and Advanced Classroom </w:t>
      </w:r>
      <w:r w:rsidR="00ED2C02" w:rsidRPr="00AE337F">
        <w:rPr>
          <w:rFonts w:ascii="Times New Roman" w:eastAsia="Calibri" w:hAnsi="Times New Roman" w:cs="Times New Roman"/>
          <w:noProof/>
          <w:sz w:val="24"/>
          <w:szCs w:val="24"/>
          <w:lang w:val="en-US"/>
        </w:rPr>
        <w:tab/>
      </w:r>
      <w:r w:rsidRPr="00AE337F">
        <w:rPr>
          <w:rFonts w:ascii="Times New Roman" w:eastAsia="Calibri" w:hAnsi="Times New Roman" w:cs="Times New Roman"/>
          <w:noProof/>
          <w:sz w:val="24"/>
          <w:szCs w:val="24"/>
          <w:lang w:val="en-US"/>
        </w:rPr>
        <w:t xml:space="preserve">Technology. Consultado el </w:t>
      </w:r>
      <w:r w:rsidR="00ED2C02" w:rsidRPr="00AE337F">
        <w:rPr>
          <w:rFonts w:ascii="Times New Roman" w:eastAsia="Calibri" w:hAnsi="Times New Roman" w:cs="Times New Roman"/>
          <w:noProof/>
          <w:sz w:val="24"/>
          <w:szCs w:val="24"/>
          <w:lang w:val="en-US"/>
        </w:rPr>
        <w:t>1</w:t>
      </w:r>
      <w:r w:rsidR="00A37318" w:rsidRPr="00AE337F">
        <w:rPr>
          <w:rFonts w:ascii="Times New Roman" w:eastAsia="Calibri" w:hAnsi="Times New Roman" w:cs="Times New Roman"/>
          <w:noProof/>
          <w:sz w:val="24"/>
          <w:szCs w:val="24"/>
          <w:lang w:val="en-US"/>
        </w:rPr>
        <w:t>/02/2016</w:t>
      </w:r>
      <w:r w:rsidR="00ED2C02" w:rsidRPr="00AE337F">
        <w:rPr>
          <w:rFonts w:ascii="Times New Roman" w:eastAsia="Calibri" w:hAnsi="Times New Roman" w:cs="Times New Roman"/>
          <w:noProof/>
          <w:sz w:val="24"/>
          <w:szCs w:val="24"/>
          <w:lang w:val="en-US"/>
        </w:rPr>
        <w:t xml:space="preserve"> del website:</w:t>
      </w:r>
    </w:p>
    <w:p w:rsidR="00ED2C02" w:rsidRPr="00AE337F" w:rsidRDefault="00ED2C02" w:rsidP="00AE337F">
      <w:pPr>
        <w:spacing w:after="240" w:line="360" w:lineRule="auto"/>
        <w:jc w:val="both"/>
        <w:rPr>
          <w:rFonts w:ascii="Times New Roman" w:eastAsia="Calibri" w:hAnsi="Times New Roman" w:cs="Times New Roman"/>
          <w:noProof/>
          <w:sz w:val="24"/>
          <w:szCs w:val="24"/>
          <w:lang w:val="en-US"/>
        </w:rPr>
      </w:pPr>
      <w:r w:rsidRPr="00AE337F">
        <w:rPr>
          <w:rFonts w:ascii="Times New Roman" w:eastAsia="Calibri" w:hAnsi="Times New Roman" w:cs="Times New Roman"/>
          <w:noProof/>
          <w:sz w:val="24"/>
          <w:szCs w:val="24"/>
          <w:lang w:val="en-US"/>
        </w:rPr>
        <w:tab/>
      </w:r>
      <w:hyperlink r:id="rId11" w:history="1">
        <w:r w:rsidR="002831BE" w:rsidRPr="00AE337F">
          <w:rPr>
            <w:rStyle w:val="Hipervnculo"/>
            <w:rFonts w:ascii="Times New Roman" w:eastAsia="Calibri" w:hAnsi="Times New Roman" w:cs="Times New Roman"/>
            <w:noProof/>
            <w:sz w:val="24"/>
            <w:szCs w:val="24"/>
            <w:lang w:val="en-US"/>
          </w:rPr>
          <w:t>http://works.bepress.com/cgi/viewcontent.cgi?article=1000&amp;contex=deborah_merritt</w:t>
        </w:r>
      </w:hyperlink>
    </w:p>
    <w:p w:rsidR="00C76DC9" w:rsidRPr="00AE337F" w:rsidRDefault="00C76DC9" w:rsidP="00AE337F">
      <w:pPr>
        <w:pStyle w:val="Bibliografa"/>
        <w:overflowPunct/>
        <w:autoSpaceDE/>
        <w:autoSpaceDN/>
        <w:adjustRightInd/>
        <w:spacing w:after="240" w:line="360" w:lineRule="auto"/>
        <w:ind w:left="720" w:hanging="720"/>
        <w:textAlignment w:val="auto"/>
        <w:rPr>
          <w:rFonts w:eastAsia="Calibri"/>
          <w:noProof/>
          <w:szCs w:val="24"/>
          <w:lang w:val="es-MX" w:eastAsia="en-US"/>
        </w:rPr>
      </w:pPr>
      <w:r w:rsidRPr="00AE337F">
        <w:rPr>
          <w:rFonts w:eastAsia="Calibri"/>
          <w:noProof/>
          <w:szCs w:val="24"/>
          <w:lang w:val="es-MX" w:eastAsia="en-US"/>
        </w:rPr>
        <w:t xml:space="preserve">Kataona, J. y Kovari A. (2016). </w:t>
      </w:r>
      <w:r w:rsidRPr="00AE337F">
        <w:rPr>
          <w:rFonts w:eastAsia="Calibri"/>
          <w:noProof/>
          <w:szCs w:val="24"/>
          <w:lang w:val="en-US" w:eastAsia="en-US"/>
        </w:rPr>
        <w:t>A Brain-Computer Interface Project A</w:t>
      </w:r>
      <w:r w:rsidR="00AF76CF" w:rsidRPr="00AE337F">
        <w:rPr>
          <w:rFonts w:eastAsia="Calibri"/>
          <w:noProof/>
          <w:szCs w:val="24"/>
          <w:lang w:val="en-US" w:eastAsia="en-US"/>
        </w:rPr>
        <w:t>pplied in Computer Engineering.</w:t>
      </w:r>
      <w:r w:rsidRPr="00AE337F">
        <w:rPr>
          <w:rFonts w:eastAsia="Calibri"/>
          <w:noProof/>
          <w:szCs w:val="24"/>
          <w:lang w:val="en-US" w:eastAsia="en-US"/>
        </w:rPr>
        <w:t xml:space="preserve"> </w:t>
      </w:r>
      <w:r w:rsidRPr="00AE337F">
        <w:rPr>
          <w:rFonts w:eastAsia="Calibri"/>
          <w:i/>
          <w:noProof/>
          <w:szCs w:val="24"/>
          <w:lang w:val="es-MX" w:eastAsia="en-US"/>
        </w:rPr>
        <w:t>IEEE Transaction on Education</w:t>
      </w:r>
      <w:r w:rsidRPr="00AE337F">
        <w:rPr>
          <w:rFonts w:eastAsia="Calibri"/>
          <w:noProof/>
          <w:szCs w:val="24"/>
          <w:lang w:val="es-MX" w:eastAsia="en-US"/>
        </w:rPr>
        <w:t>.</w:t>
      </w:r>
      <w:r w:rsidR="0025009A" w:rsidRPr="00AE337F">
        <w:rPr>
          <w:rFonts w:eastAsia="Calibri"/>
          <w:noProof/>
          <w:szCs w:val="24"/>
          <w:lang w:val="es-MX" w:eastAsia="en-US"/>
        </w:rPr>
        <w:t xml:space="preserve"> </w:t>
      </w:r>
      <w:r w:rsidRPr="00AE337F">
        <w:rPr>
          <w:rFonts w:eastAsia="Calibri"/>
          <w:noProof/>
          <w:szCs w:val="24"/>
          <w:lang w:val="es-MX" w:eastAsia="en-US"/>
        </w:rPr>
        <w:t xml:space="preserve">59 </w:t>
      </w:r>
      <w:r w:rsidR="0025009A" w:rsidRPr="00AE337F">
        <w:rPr>
          <w:rFonts w:eastAsia="Calibri"/>
          <w:noProof/>
          <w:szCs w:val="24"/>
          <w:lang w:val="es-MX" w:eastAsia="en-US"/>
        </w:rPr>
        <w:t>(4), 319-326.</w:t>
      </w:r>
      <w:r w:rsidRPr="00AE337F">
        <w:rPr>
          <w:rFonts w:eastAsia="Calibri"/>
          <w:noProof/>
          <w:szCs w:val="24"/>
          <w:lang w:val="es-MX" w:eastAsia="en-US"/>
        </w:rPr>
        <w:t xml:space="preserve"> </w:t>
      </w:r>
    </w:p>
    <w:p w:rsidR="004C577A" w:rsidRPr="00AE337F" w:rsidRDefault="004C577A" w:rsidP="00AE337F">
      <w:pPr>
        <w:pStyle w:val="Bibliografa"/>
        <w:overflowPunct/>
        <w:autoSpaceDE/>
        <w:autoSpaceDN/>
        <w:adjustRightInd/>
        <w:spacing w:after="240" w:line="360" w:lineRule="auto"/>
        <w:ind w:left="720" w:hanging="720"/>
        <w:textAlignment w:val="auto"/>
        <w:rPr>
          <w:rFonts w:eastAsia="Calibri"/>
          <w:noProof/>
          <w:szCs w:val="24"/>
          <w:lang w:val="es-MX" w:eastAsia="en-US"/>
        </w:rPr>
      </w:pPr>
      <w:r w:rsidRPr="00AE337F">
        <w:rPr>
          <w:rFonts w:eastAsia="Calibri"/>
          <w:noProof/>
          <w:szCs w:val="24"/>
          <w:lang w:val="es-MX" w:eastAsia="en-US"/>
        </w:rPr>
        <w:lastRenderedPageBreak/>
        <w:t>Lorayne, H. (2011). Memoria sin edad. Simples secretos par mantener joven tu cerebro. México: Grupo Editorial Tomo S.A. de C.V.</w:t>
      </w:r>
    </w:p>
    <w:p w:rsidR="00A04C1C" w:rsidRPr="00AE337F" w:rsidRDefault="00A04C1C" w:rsidP="00AE337F">
      <w:pPr>
        <w:spacing w:after="240" w:line="360" w:lineRule="auto"/>
        <w:jc w:val="both"/>
        <w:rPr>
          <w:rFonts w:ascii="Times New Roman" w:eastAsia="Calibri" w:hAnsi="Times New Roman" w:cs="Times New Roman"/>
          <w:noProof/>
          <w:sz w:val="24"/>
          <w:szCs w:val="24"/>
        </w:rPr>
      </w:pPr>
      <w:r w:rsidRPr="00AE337F">
        <w:rPr>
          <w:rFonts w:ascii="Times New Roman" w:eastAsia="Calibri" w:hAnsi="Times New Roman" w:cs="Times New Roman"/>
          <w:noProof/>
          <w:sz w:val="24"/>
          <w:szCs w:val="24"/>
        </w:rPr>
        <w:t>Lorayne, H. (1995). How to Develop a Super Memory Power. Frederick Fell Publishers.</w:t>
      </w:r>
    </w:p>
    <w:p w:rsidR="00E35A20" w:rsidRPr="00AE337F" w:rsidRDefault="00E35A20" w:rsidP="00AE337F">
      <w:pPr>
        <w:spacing w:after="0" w:line="360" w:lineRule="auto"/>
        <w:jc w:val="both"/>
        <w:rPr>
          <w:rFonts w:ascii="Times New Roman" w:eastAsia="Calibri" w:hAnsi="Times New Roman" w:cs="Times New Roman"/>
          <w:noProof/>
          <w:sz w:val="24"/>
          <w:szCs w:val="24"/>
        </w:rPr>
      </w:pPr>
      <w:r w:rsidRPr="00AE337F">
        <w:rPr>
          <w:rFonts w:ascii="Times New Roman" w:eastAsia="Calibri" w:hAnsi="Times New Roman" w:cs="Times New Roman"/>
          <w:noProof/>
          <w:sz w:val="24"/>
          <w:szCs w:val="24"/>
        </w:rPr>
        <w:t>RAE (2016). Real Academia de la Lengua Espa</w:t>
      </w:r>
      <w:r w:rsidRPr="00AE337F">
        <w:rPr>
          <w:rFonts w:ascii="Times New Roman" w:eastAsia="Calibri" w:hAnsi="Times New Roman" w:cs="Times New Roman"/>
          <w:noProof/>
          <w:sz w:val="24"/>
          <w:szCs w:val="24"/>
          <w:lang w:val="es-ES"/>
        </w:rPr>
        <w:t>ñ</w:t>
      </w:r>
      <w:r w:rsidRPr="00AE337F">
        <w:rPr>
          <w:rFonts w:ascii="Times New Roman" w:eastAsia="Calibri" w:hAnsi="Times New Roman" w:cs="Times New Roman"/>
          <w:noProof/>
          <w:sz w:val="24"/>
          <w:szCs w:val="24"/>
        </w:rPr>
        <w:t xml:space="preserve">ola. </w:t>
      </w:r>
      <w:r w:rsidR="00A37318" w:rsidRPr="00AE337F">
        <w:rPr>
          <w:rFonts w:ascii="Times New Roman" w:eastAsia="Calibri" w:hAnsi="Times New Roman" w:cs="Times New Roman"/>
          <w:noProof/>
          <w:sz w:val="24"/>
          <w:szCs w:val="24"/>
        </w:rPr>
        <w:t>Consu</w:t>
      </w:r>
      <w:r w:rsidR="009B1F70" w:rsidRPr="00AE337F">
        <w:rPr>
          <w:rFonts w:ascii="Times New Roman" w:eastAsia="Calibri" w:hAnsi="Times New Roman" w:cs="Times New Roman"/>
          <w:noProof/>
          <w:sz w:val="24"/>
          <w:szCs w:val="24"/>
        </w:rPr>
        <w:t>ltado el 3/04</w:t>
      </w:r>
      <w:r w:rsidR="00A37318" w:rsidRPr="00AE337F">
        <w:rPr>
          <w:rFonts w:ascii="Times New Roman" w:eastAsia="Calibri" w:hAnsi="Times New Roman" w:cs="Times New Roman"/>
          <w:noProof/>
          <w:sz w:val="24"/>
          <w:szCs w:val="24"/>
        </w:rPr>
        <w:t>/2016 del website:</w:t>
      </w:r>
    </w:p>
    <w:p w:rsidR="00A37318" w:rsidRPr="00AE337F" w:rsidRDefault="00A37318" w:rsidP="00AE337F">
      <w:pPr>
        <w:spacing w:after="240" w:line="360" w:lineRule="auto"/>
        <w:jc w:val="both"/>
        <w:rPr>
          <w:rFonts w:ascii="Times New Roman" w:eastAsia="Calibri" w:hAnsi="Times New Roman" w:cs="Times New Roman"/>
          <w:noProof/>
          <w:sz w:val="24"/>
          <w:szCs w:val="24"/>
        </w:rPr>
      </w:pPr>
      <w:r w:rsidRPr="00AE337F">
        <w:rPr>
          <w:rFonts w:ascii="Times New Roman" w:eastAsia="Calibri" w:hAnsi="Times New Roman" w:cs="Times New Roman"/>
          <w:noProof/>
          <w:sz w:val="24"/>
          <w:szCs w:val="24"/>
        </w:rPr>
        <w:tab/>
      </w:r>
      <w:hyperlink r:id="rId12" w:history="1">
        <w:r w:rsidR="002831BE" w:rsidRPr="00AE337F">
          <w:rPr>
            <w:rStyle w:val="Hipervnculo"/>
            <w:rFonts w:ascii="Times New Roman" w:eastAsia="Calibri" w:hAnsi="Times New Roman" w:cs="Times New Roman"/>
            <w:noProof/>
            <w:sz w:val="24"/>
            <w:szCs w:val="24"/>
          </w:rPr>
          <w:t>http://dle.rae.es/?w=diccionario</w:t>
        </w:r>
      </w:hyperlink>
    </w:p>
    <w:p w:rsidR="00797D79" w:rsidRPr="00AE337F" w:rsidRDefault="00797D79" w:rsidP="00AE337F">
      <w:pPr>
        <w:pStyle w:val="Bibliografa"/>
        <w:overflowPunct/>
        <w:autoSpaceDE/>
        <w:autoSpaceDN/>
        <w:adjustRightInd/>
        <w:spacing w:line="360" w:lineRule="auto"/>
        <w:ind w:left="720" w:hanging="720"/>
        <w:textAlignment w:val="auto"/>
        <w:rPr>
          <w:rFonts w:eastAsia="Calibri"/>
          <w:noProof/>
          <w:szCs w:val="24"/>
          <w:lang w:val="es-MX" w:eastAsia="en-US"/>
        </w:rPr>
      </w:pPr>
      <w:r w:rsidRPr="00AE337F">
        <w:rPr>
          <w:rFonts w:eastAsia="Calibri"/>
          <w:noProof/>
          <w:szCs w:val="24"/>
          <w:lang w:val="es-MX" w:eastAsia="en-US"/>
        </w:rPr>
        <w:t>SEP (2016). Secretaría de Edu</w:t>
      </w:r>
      <w:r w:rsidR="00DA2EDB" w:rsidRPr="00AE337F">
        <w:rPr>
          <w:rFonts w:eastAsia="Calibri"/>
          <w:noProof/>
          <w:szCs w:val="24"/>
          <w:lang w:val="es-MX" w:eastAsia="en-US"/>
        </w:rPr>
        <w:t>cación Pública. Consultado el 25/04</w:t>
      </w:r>
      <w:r w:rsidRPr="00AE337F">
        <w:rPr>
          <w:rFonts w:eastAsia="Calibri"/>
          <w:noProof/>
          <w:szCs w:val="24"/>
          <w:lang w:val="es-MX" w:eastAsia="en-US"/>
        </w:rPr>
        <w:t>/2016 de</w:t>
      </w:r>
      <w:r w:rsidR="00A37318" w:rsidRPr="00AE337F">
        <w:rPr>
          <w:rFonts w:eastAsia="Calibri"/>
          <w:noProof/>
          <w:szCs w:val="24"/>
          <w:lang w:val="es-MX" w:eastAsia="en-US"/>
        </w:rPr>
        <w:t>l website</w:t>
      </w:r>
      <w:r w:rsidRPr="00AE337F">
        <w:rPr>
          <w:rFonts w:eastAsia="Calibri"/>
          <w:noProof/>
          <w:szCs w:val="24"/>
          <w:lang w:val="es-MX" w:eastAsia="en-US"/>
        </w:rPr>
        <w:t>:</w:t>
      </w:r>
    </w:p>
    <w:p w:rsidR="00797D79" w:rsidRPr="00AE337F" w:rsidRDefault="00797D79" w:rsidP="00AE337F">
      <w:pPr>
        <w:autoSpaceDE w:val="0"/>
        <w:autoSpaceDN w:val="0"/>
        <w:adjustRightInd w:val="0"/>
        <w:spacing w:after="240" w:line="360" w:lineRule="auto"/>
        <w:ind w:left="720" w:hanging="720"/>
        <w:jc w:val="both"/>
        <w:rPr>
          <w:rFonts w:ascii="Times New Roman" w:eastAsia="Calibri" w:hAnsi="Times New Roman" w:cs="Times New Roman"/>
          <w:noProof/>
          <w:sz w:val="24"/>
          <w:szCs w:val="24"/>
        </w:rPr>
      </w:pPr>
      <w:r w:rsidRPr="00AE337F">
        <w:rPr>
          <w:rFonts w:ascii="Times New Roman" w:eastAsia="Calibri" w:hAnsi="Times New Roman" w:cs="Times New Roman"/>
          <w:noProof/>
          <w:sz w:val="24"/>
          <w:szCs w:val="24"/>
        </w:rPr>
        <w:tab/>
      </w:r>
      <w:hyperlink r:id="rId13" w:history="1">
        <w:r w:rsidRPr="00AE337F">
          <w:rPr>
            <w:rFonts w:ascii="Times New Roman" w:eastAsia="Calibri" w:hAnsi="Times New Roman" w:cs="Times New Roman"/>
            <w:noProof/>
            <w:sz w:val="24"/>
            <w:szCs w:val="24"/>
          </w:rPr>
          <w:t>http://www.sep.gob.mx</w:t>
        </w:r>
      </w:hyperlink>
    </w:p>
    <w:p w:rsidR="00002B17" w:rsidRPr="00AE337F" w:rsidRDefault="00002B17" w:rsidP="00AE337F">
      <w:pPr>
        <w:spacing w:after="0" w:line="360" w:lineRule="auto"/>
        <w:jc w:val="both"/>
        <w:rPr>
          <w:rFonts w:ascii="Times New Roman" w:eastAsia="Calibri" w:hAnsi="Times New Roman" w:cs="Times New Roman"/>
          <w:noProof/>
          <w:sz w:val="24"/>
          <w:szCs w:val="24"/>
          <w:lang w:val="es-ES"/>
        </w:rPr>
      </w:pPr>
      <w:r w:rsidRPr="00AE337F">
        <w:rPr>
          <w:rFonts w:ascii="Times New Roman" w:eastAsia="Calibri" w:hAnsi="Times New Roman" w:cs="Times New Roman"/>
          <w:noProof/>
          <w:sz w:val="24"/>
          <w:szCs w:val="24"/>
          <w:lang w:val="es-ES"/>
        </w:rPr>
        <w:t>SES (2016). Subsecretaría de Educación Superior. Consultado el 13/05/16 del website:</w:t>
      </w:r>
    </w:p>
    <w:p w:rsidR="00002B17" w:rsidRPr="00AE337F" w:rsidRDefault="00002B17" w:rsidP="00AE337F">
      <w:pPr>
        <w:spacing w:after="240" w:line="360" w:lineRule="auto"/>
        <w:jc w:val="both"/>
        <w:rPr>
          <w:rFonts w:ascii="Times New Roman" w:eastAsia="Calibri" w:hAnsi="Times New Roman" w:cs="Times New Roman"/>
          <w:noProof/>
          <w:sz w:val="24"/>
          <w:szCs w:val="24"/>
          <w:lang w:val="es-ES"/>
        </w:rPr>
      </w:pPr>
      <w:r w:rsidRPr="00AE337F">
        <w:rPr>
          <w:rFonts w:ascii="Times New Roman" w:eastAsia="Calibri" w:hAnsi="Times New Roman" w:cs="Times New Roman"/>
          <w:noProof/>
          <w:sz w:val="24"/>
          <w:szCs w:val="24"/>
          <w:lang w:val="es-ES"/>
        </w:rPr>
        <w:tab/>
      </w:r>
      <w:hyperlink r:id="rId14" w:history="1">
        <w:r w:rsidRPr="00AE337F">
          <w:rPr>
            <w:rStyle w:val="Hipervnculo"/>
            <w:rFonts w:ascii="Times New Roman" w:eastAsia="Calibri" w:hAnsi="Times New Roman" w:cs="Times New Roman"/>
            <w:noProof/>
            <w:sz w:val="24"/>
            <w:szCs w:val="24"/>
            <w:lang w:val="es-ES"/>
          </w:rPr>
          <w:t>http://www.ses.sep.gob.mx</w:t>
        </w:r>
      </w:hyperlink>
      <w:bookmarkStart w:id="0" w:name="_GoBack"/>
      <w:bookmarkEnd w:id="0"/>
    </w:p>
    <w:p w:rsidR="00797D79" w:rsidRPr="00AE337F" w:rsidRDefault="00797D79" w:rsidP="00AE337F">
      <w:pPr>
        <w:spacing w:after="0" w:line="360" w:lineRule="auto"/>
        <w:jc w:val="both"/>
        <w:rPr>
          <w:rFonts w:ascii="Times New Roman" w:eastAsia="Calibri" w:hAnsi="Times New Roman" w:cs="Times New Roman"/>
          <w:noProof/>
          <w:sz w:val="24"/>
          <w:szCs w:val="24"/>
        </w:rPr>
      </w:pPr>
      <w:r w:rsidRPr="00AE337F">
        <w:rPr>
          <w:rFonts w:ascii="Times New Roman" w:eastAsia="Calibri" w:hAnsi="Times New Roman" w:cs="Times New Roman"/>
          <w:noProof/>
          <w:sz w:val="24"/>
          <w:szCs w:val="24"/>
        </w:rPr>
        <w:t>UTA (2016). Universidad Tecnológi</w:t>
      </w:r>
      <w:r w:rsidR="00DA2EDB" w:rsidRPr="00AE337F">
        <w:rPr>
          <w:rFonts w:ascii="Times New Roman" w:eastAsia="Calibri" w:hAnsi="Times New Roman" w:cs="Times New Roman"/>
          <w:noProof/>
          <w:sz w:val="24"/>
          <w:szCs w:val="24"/>
        </w:rPr>
        <w:t>ca de Altamira. Consultado el 5/abr</w:t>
      </w:r>
      <w:r w:rsidRPr="00AE337F">
        <w:rPr>
          <w:rFonts w:ascii="Times New Roman" w:eastAsia="Calibri" w:hAnsi="Times New Roman" w:cs="Times New Roman"/>
          <w:noProof/>
          <w:sz w:val="24"/>
          <w:szCs w:val="24"/>
        </w:rPr>
        <w:t>/2016 de:</w:t>
      </w:r>
    </w:p>
    <w:p w:rsidR="00797D79" w:rsidRDefault="009010E6" w:rsidP="00AE337F">
      <w:pPr>
        <w:spacing w:after="240" w:line="360" w:lineRule="auto"/>
        <w:ind w:firstLine="708"/>
        <w:jc w:val="both"/>
        <w:rPr>
          <w:rFonts w:ascii="Times New Roman" w:eastAsia="Calibri" w:hAnsi="Times New Roman" w:cs="Times New Roman"/>
          <w:noProof/>
          <w:sz w:val="24"/>
          <w:szCs w:val="24"/>
        </w:rPr>
      </w:pPr>
      <w:hyperlink r:id="rId15" w:history="1">
        <w:r w:rsidR="002831BE" w:rsidRPr="00AE337F">
          <w:rPr>
            <w:rStyle w:val="Hipervnculo"/>
            <w:rFonts w:ascii="Times New Roman" w:eastAsia="Calibri" w:hAnsi="Times New Roman" w:cs="Times New Roman"/>
            <w:noProof/>
            <w:sz w:val="24"/>
            <w:szCs w:val="24"/>
          </w:rPr>
          <w:t>http://www.utaltamira.edu.mx/</w:t>
        </w:r>
      </w:hyperlink>
    </w:p>
    <w:p w:rsidR="00090AA0" w:rsidRDefault="00090AA0" w:rsidP="00ED2C02">
      <w:pPr>
        <w:spacing w:after="240" w:line="360" w:lineRule="auto"/>
        <w:rPr>
          <w:rFonts w:ascii="Arial" w:hAnsi="Arial" w:cs="Arial"/>
          <w:iCs/>
          <w:sz w:val="24"/>
          <w:szCs w:val="24"/>
        </w:rPr>
      </w:pPr>
    </w:p>
    <w:sectPr w:rsidR="00090AA0" w:rsidSect="00D40C87">
      <w:headerReference w:type="default" r:id="rId16"/>
      <w:footerReference w:type="default" r:id="rId17"/>
      <w:pgSz w:w="12240" w:h="15840"/>
      <w:pgMar w:top="1417" w:right="1467" w:bottom="1417"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0E6" w:rsidRDefault="009010E6" w:rsidP="00705052">
      <w:pPr>
        <w:spacing w:after="0" w:line="240" w:lineRule="auto"/>
      </w:pPr>
      <w:r>
        <w:separator/>
      </w:r>
    </w:p>
  </w:endnote>
  <w:endnote w:type="continuationSeparator" w:id="0">
    <w:p w:rsidR="009010E6" w:rsidRDefault="009010E6" w:rsidP="00705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072555"/>
      <w:docPartObj>
        <w:docPartGallery w:val="Page Numbers (Bottom of Page)"/>
        <w:docPartUnique/>
      </w:docPartObj>
    </w:sdtPr>
    <w:sdtContent>
      <w:p w:rsidR="00AE337F" w:rsidRDefault="00AE337F" w:rsidP="00AE337F">
        <w:pPr>
          <w:pStyle w:val="Piedepgina"/>
          <w:jc w:val="center"/>
        </w:pPr>
        <w:r>
          <w:rPr>
            <w:rFonts w:cs="Calibri"/>
            <w:b/>
          </w:rPr>
          <w:t>Publicación # 07</w:t>
        </w:r>
        <w:r w:rsidRPr="000C545D">
          <w:rPr>
            <w:rFonts w:cs="Calibri"/>
            <w:b/>
          </w:rPr>
          <w:t xml:space="preserve">                    </w:t>
        </w:r>
        <w:r>
          <w:rPr>
            <w:rFonts w:cs="Calibri"/>
            <w:b/>
          </w:rPr>
          <w:t>Enero – Junio 201</w:t>
        </w:r>
        <w:r>
          <w:rPr>
            <w:rFonts w:cs="Calibri"/>
            <w:b/>
          </w:rPr>
          <w:t>7</w:t>
        </w:r>
        <w:r w:rsidRPr="000C545D">
          <w:rPr>
            <w:rFonts w:cs="Calibri"/>
            <w:b/>
          </w:rPr>
          <w:t xml:space="preserve">                           PAG</w:t>
        </w:r>
      </w:p>
    </w:sdtContent>
  </w:sdt>
  <w:p w:rsidR="00662669" w:rsidRDefault="00662669" w:rsidP="003F41C1">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0E6" w:rsidRDefault="009010E6" w:rsidP="00705052">
      <w:pPr>
        <w:spacing w:after="0" w:line="240" w:lineRule="auto"/>
      </w:pPr>
      <w:r>
        <w:separator/>
      </w:r>
    </w:p>
  </w:footnote>
  <w:footnote w:type="continuationSeparator" w:id="0">
    <w:p w:rsidR="009010E6" w:rsidRDefault="009010E6" w:rsidP="007050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669" w:rsidRDefault="00662669" w:rsidP="003F41C1">
    <w:pPr>
      <w:pStyle w:val="Encabezado"/>
      <w:jc w:val="center"/>
    </w:pPr>
    <w:r w:rsidRPr="00017E90">
      <w:rPr>
        <w:rFonts w:cs="Calibri"/>
        <w:b/>
        <w:i/>
      </w:rPr>
      <w:t xml:space="preserve">Revista Iberoamericana </w:t>
    </w:r>
    <w:r w:rsidR="00005AE0">
      <w:rPr>
        <w:rFonts w:cs="Calibri"/>
        <w:b/>
        <w:i/>
      </w:rPr>
      <w:t>de Producción Académica y Gestión Educativa</w:t>
    </w:r>
    <w:r w:rsidRPr="00017E90">
      <w:rPr>
        <w:b/>
      </w:rPr>
      <w:t xml:space="preserve">  </w:t>
    </w:r>
    <w:r w:rsidRPr="00017E90">
      <w:t xml:space="preserve">               </w:t>
    </w:r>
    <w:r w:rsidR="00005AE0">
      <w:rPr>
        <w:rFonts w:cs="Calibri"/>
        <w:b/>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0FF0"/>
    <w:multiLevelType w:val="hybridMultilevel"/>
    <w:tmpl w:val="2EC2485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0F394E"/>
    <w:multiLevelType w:val="hybridMultilevel"/>
    <w:tmpl w:val="3918A5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074B5"/>
    <w:multiLevelType w:val="hybridMultilevel"/>
    <w:tmpl w:val="5C30F7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851F9"/>
    <w:multiLevelType w:val="hybridMultilevel"/>
    <w:tmpl w:val="4CC462C2"/>
    <w:lvl w:ilvl="0" w:tplc="066EFD96">
      <w:start w:val="1"/>
      <w:numFmt w:val="decimal"/>
      <w:lvlText w:val="%1."/>
      <w:lvlJc w:val="left"/>
      <w:pPr>
        <w:tabs>
          <w:tab w:val="num" w:pos="930"/>
        </w:tabs>
        <w:ind w:left="930" w:hanging="570"/>
      </w:pPr>
      <w:rPr>
        <w:rFonts w:hint="default"/>
      </w:rPr>
    </w:lvl>
    <w:lvl w:ilvl="1" w:tplc="0C0A0019">
      <w:start w:val="1"/>
      <w:numFmt w:val="lowerLetter"/>
      <w:lvlText w:val="%2."/>
      <w:lvlJc w:val="left"/>
      <w:pPr>
        <w:tabs>
          <w:tab w:val="num" w:pos="1440"/>
        </w:tabs>
        <w:ind w:left="1440" w:hanging="360"/>
      </w:pPr>
    </w:lvl>
    <w:lvl w:ilvl="2" w:tplc="1E7A91AE">
      <w:numFmt w:val="bullet"/>
      <w:lvlText w:val="-"/>
      <w:lvlJc w:val="left"/>
      <w:pPr>
        <w:tabs>
          <w:tab w:val="num" w:pos="2340"/>
        </w:tabs>
        <w:ind w:left="2340" w:hanging="360"/>
      </w:pPr>
      <w:rPr>
        <w:rFonts w:ascii="Arial" w:eastAsia="Times New Roman" w:hAnsi="Arial" w:cs="Aria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E8F6D1B"/>
    <w:multiLevelType w:val="multilevel"/>
    <w:tmpl w:val="DD42D3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CB23FC4"/>
    <w:multiLevelType w:val="hybridMultilevel"/>
    <w:tmpl w:val="69CC55A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A2E177A"/>
    <w:multiLevelType w:val="hybridMultilevel"/>
    <w:tmpl w:val="D0586E8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AE762ED"/>
    <w:multiLevelType w:val="multilevel"/>
    <w:tmpl w:val="E5FA5532"/>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6E1F5C05"/>
    <w:multiLevelType w:val="hybridMultilevel"/>
    <w:tmpl w:val="E1587F16"/>
    <w:lvl w:ilvl="0" w:tplc="0409000D">
      <w:start w:val="1"/>
      <w:numFmt w:val="bullet"/>
      <w:lvlText w:val=""/>
      <w:lvlJc w:val="left"/>
      <w:pPr>
        <w:tabs>
          <w:tab w:val="num" w:pos="720"/>
        </w:tabs>
        <w:ind w:left="720" w:hanging="360"/>
      </w:pPr>
      <w:rPr>
        <w:rFonts w:ascii="Wingdings" w:hAnsi="Wingdings" w:hint="default"/>
        <w:b/>
        <w:i w:val="0"/>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33E74BB"/>
    <w:multiLevelType w:val="hybridMultilevel"/>
    <w:tmpl w:val="D6F27E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7"/>
  </w:num>
  <w:num w:numId="3">
    <w:abstractNumId w:val="3"/>
  </w:num>
  <w:num w:numId="4">
    <w:abstractNumId w:val="4"/>
  </w:num>
  <w:num w:numId="5">
    <w:abstractNumId w:val="5"/>
  </w:num>
  <w:num w:numId="6">
    <w:abstractNumId w:val="2"/>
  </w:num>
  <w:num w:numId="7">
    <w:abstractNumId w:val="9"/>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05052"/>
    <w:rsid w:val="00002B17"/>
    <w:rsid w:val="00005AE0"/>
    <w:rsid w:val="00014C66"/>
    <w:rsid w:val="00017D27"/>
    <w:rsid w:val="00031D8E"/>
    <w:rsid w:val="00036D75"/>
    <w:rsid w:val="000428BE"/>
    <w:rsid w:val="00043839"/>
    <w:rsid w:val="00051188"/>
    <w:rsid w:val="00061670"/>
    <w:rsid w:val="00090AA0"/>
    <w:rsid w:val="00094C11"/>
    <w:rsid w:val="000A26B6"/>
    <w:rsid w:val="000A3236"/>
    <w:rsid w:val="000B0656"/>
    <w:rsid w:val="000B41F4"/>
    <w:rsid w:val="000C597E"/>
    <w:rsid w:val="000D47A3"/>
    <w:rsid w:val="000E584C"/>
    <w:rsid w:val="000E707A"/>
    <w:rsid w:val="000F32D2"/>
    <w:rsid w:val="000F7C05"/>
    <w:rsid w:val="00103A0E"/>
    <w:rsid w:val="0010548D"/>
    <w:rsid w:val="00122D30"/>
    <w:rsid w:val="00153F81"/>
    <w:rsid w:val="00160F11"/>
    <w:rsid w:val="00162293"/>
    <w:rsid w:val="00170874"/>
    <w:rsid w:val="00172481"/>
    <w:rsid w:val="00176FAC"/>
    <w:rsid w:val="001917B2"/>
    <w:rsid w:val="001A7DA5"/>
    <w:rsid w:val="001B60BC"/>
    <w:rsid w:val="001C406E"/>
    <w:rsid w:val="001D07EE"/>
    <w:rsid w:val="001D6188"/>
    <w:rsid w:val="001E42FD"/>
    <w:rsid w:val="001E59F0"/>
    <w:rsid w:val="001E6846"/>
    <w:rsid w:val="001F2D54"/>
    <w:rsid w:val="001F79C4"/>
    <w:rsid w:val="00200BDB"/>
    <w:rsid w:val="0021239B"/>
    <w:rsid w:val="0021250D"/>
    <w:rsid w:val="00213168"/>
    <w:rsid w:val="00217FC7"/>
    <w:rsid w:val="002228F8"/>
    <w:rsid w:val="0023232E"/>
    <w:rsid w:val="002439FA"/>
    <w:rsid w:val="00243D85"/>
    <w:rsid w:val="0025009A"/>
    <w:rsid w:val="0025176A"/>
    <w:rsid w:val="00261EEC"/>
    <w:rsid w:val="00262EEB"/>
    <w:rsid w:val="0026538D"/>
    <w:rsid w:val="00272685"/>
    <w:rsid w:val="002831BE"/>
    <w:rsid w:val="00285D9E"/>
    <w:rsid w:val="0029102F"/>
    <w:rsid w:val="00292500"/>
    <w:rsid w:val="0029638F"/>
    <w:rsid w:val="002C23E1"/>
    <w:rsid w:val="002C47DF"/>
    <w:rsid w:val="002C49EA"/>
    <w:rsid w:val="002C7280"/>
    <w:rsid w:val="002D79C7"/>
    <w:rsid w:val="002E3A44"/>
    <w:rsid w:val="002E4118"/>
    <w:rsid w:val="002F2E9A"/>
    <w:rsid w:val="002F3BE3"/>
    <w:rsid w:val="002F49F2"/>
    <w:rsid w:val="00303C75"/>
    <w:rsid w:val="00317FE2"/>
    <w:rsid w:val="0032368C"/>
    <w:rsid w:val="00326DF0"/>
    <w:rsid w:val="0032785C"/>
    <w:rsid w:val="00336343"/>
    <w:rsid w:val="003459B0"/>
    <w:rsid w:val="003D031C"/>
    <w:rsid w:val="003D2855"/>
    <w:rsid w:val="003D770A"/>
    <w:rsid w:val="003E1EE7"/>
    <w:rsid w:val="003F3E83"/>
    <w:rsid w:val="003F41C1"/>
    <w:rsid w:val="004043AE"/>
    <w:rsid w:val="004059A3"/>
    <w:rsid w:val="00437059"/>
    <w:rsid w:val="00442161"/>
    <w:rsid w:val="00447851"/>
    <w:rsid w:val="00447F9E"/>
    <w:rsid w:val="00465C6C"/>
    <w:rsid w:val="00484DA9"/>
    <w:rsid w:val="00495372"/>
    <w:rsid w:val="004A3B74"/>
    <w:rsid w:val="004B2494"/>
    <w:rsid w:val="004B67B3"/>
    <w:rsid w:val="004C1BBA"/>
    <w:rsid w:val="004C577A"/>
    <w:rsid w:val="004C743B"/>
    <w:rsid w:val="004D79F1"/>
    <w:rsid w:val="004E01BC"/>
    <w:rsid w:val="004E4B5A"/>
    <w:rsid w:val="004F4D84"/>
    <w:rsid w:val="00510945"/>
    <w:rsid w:val="00523FAA"/>
    <w:rsid w:val="005267E0"/>
    <w:rsid w:val="00531446"/>
    <w:rsid w:val="00545E7E"/>
    <w:rsid w:val="0054646D"/>
    <w:rsid w:val="00555D50"/>
    <w:rsid w:val="00557FF0"/>
    <w:rsid w:val="00562AEC"/>
    <w:rsid w:val="00572187"/>
    <w:rsid w:val="00573DEB"/>
    <w:rsid w:val="005741DD"/>
    <w:rsid w:val="00576DA0"/>
    <w:rsid w:val="00581F2D"/>
    <w:rsid w:val="00582192"/>
    <w:rsid w:val="00587C1E"/>
    <w:rsid w:val="00590A1A"/>
    <w:rsid w:val="005B27C6"/>
    <w:rsid w:val="005C5A34"/>
    <w:rsid w:val="005D7BE8"/>
    <w:rsid w:val="005E7933"/>
    <w:rsid w:val="00600D50"/>
    <w:rsid w:val="006017B3"/>
    <w:rsid w:val="00606D0F"/>
    <w:rsid w:val="00615FFC"/>
    <w:rsid w:val="00621078"/>
    <w:rsid w:val="00637051"/>
    <w:rsid w:val="006505D5"/>
    <w:rsid w:val="006516B9"/>
    <w:rsid w:val="00651E46"/>
    <w:rsid w:val="00662669"/>
    <w:rsid w:val="00683ECA"/>
    <w:rsid w:val="006851F2"/>
    <w:rsid w:val="00685477"/>
    <w:rsid w:val="00694E73"/>
    <w:rsid w:val="006A2502"/>
    <w:rsid w:val="006A7E50"/>
    <w:rsid w:val="006B7CFC"/>
    <w:rsid w:val="006B7E5B"/>
    <w:rsid w:val="006C60DC"/>
    <w:rsid w:val="006D0E81"/>
    <w:rsid w:val="006D3EA2"/>
    <w:rsid w:val="006E0FEF"/>
    <w:rsid w:val="006E77DC"/>
    <w:rsid w:val="006F4B1E"/>
    <w:rsid w:val="006F6938"/>
    <w:rsid w:val="00700F5F"/>
    <w:rsid w:val="0070237B"/>
    <w:rsid w:val="00705052"/>
    <w:rsid w:val="00706553"/>
    <w:rsid w:val="0071080D"/>
    <w:rsid w:val="00713FC4"/>
    <w:rsid w:val="00731201"/>
    <w:rsid w:val="00731D8D"/>
    <w:rsid w:val="00734569"/>
    <w:rsid w:val="007351BA"/>
    <w:rsid w:val="007468CC"/>
    <w:rsid w:val="0075176A"/>
    <w:rsid w:val="00763981"/>
    <w:rsid w:val="0077445C"/>
    <w:rsid w:val="00787199"/>
    <w:rsid w:val="00792170"/>
    <w:rsid w:val="00797D79"/>
    <w:rsid w:val="007A17EA"/>
    <w:rsid w:val="007A26BF"/>
    <w:rsid w:val="007A30A8"/>
    <w:rsid w:val="007A6B43"/>
    <w:rsid w:val="007B03E1"/>
    <w:rsid w:val="007B7BAF"/>
    <w:rsid w:val="007C484C"/>
    <w:rsid w:val="007D114D"/>
    <w:rsid w:val="007D54B8"/>
    <w:rsid w:val="007D66A6"/>
    <w:rsid w:val="007E0769"/>
    <w:rsid w:val="007E17F3"/>
    <w:rsid w:val="007E2BD6"/>
    <w:rsid w:val="007E7A57"/>
    <w:rsid w:val="007F044F"/>
    <w:rsid w:val="007F2F49"/>
    <w:rsid w:val="0080014A"/>
    <w:rsid w:val="0082242B"/>
    <w:rsid w:val="008367E7"/>
    <w:rsid w:val="00854D31"/>
    <w:rsid w:val="008550FD"/>
    <w:rsid w:val="00862E45"/>
    <w:rsid w:val="00871A5A"/>
    <w:rsid w:val="00885FD2"/>
    <w:rsid w:val="008C04F0"/>
    <w:rsid w:val="008F4225"/>
    <w:rsid w:val="008F4AB4"/>
    <w:rsid w:val="008F5C4F"/>
    <w:rsid w:val="009010E6"/>
    <w:rsid w:val="00910BC0"/>
    <w:rsid w:val="00912467"/>
    <w:rsid w:val="00916225"/>
    <w:rsid w:val="009320EF"/>
    <w:rsid w:val="009330AC"/>
    <w:rsid w:val="00944938"/>
    <w:rsid w:val="00946916"/>
    <w:rsid w:val="00966D45"/>
    <w:rsid w:val="00971955"/>
    <w:rsid w:val="00973B81"/>
    <w:rsid w:val="00985F4B"/>
    <w:rsid w:val="0099074D"/>
    <w:rsid w:val="00993408"/>
    <w:rsid w:val="009A7907"/>
    <w:rsid w:val="009B0BE2"/>
    <w:rsid w:val="009B1F70"/>
    <w:rsid w:val="009C7CFD"/>
    <w:rsid w:val="009D2E54"/>
    <w:rsid w:val="009D6BD4"/>
    <w:rsid w:val="009D73A0"/>
    <w:rsid w:val="009E59D0"/>
    <w:rsid w:val="009F5C38"/>
    <w:rsid w:val="00A034E5"/>
    <w:rsid w:val="00A04C1C"/>
    <w:rsid w:val="00A11E48"/>
    <w:rsid w:val="00A13558"/>
    <w:rsid w:val="00A22B09"/>
    <w:rsid w:val="00A26E3A"/>
    <w:rsid w:val="00A360E9"/>
    <w:rsid w:val="00A37318"/>
    <w:rsid w:val="00A379F3"/>
    <w:rsid w:val="00A4111B"/>
    <w:rsid w:val="00A46E35"/>
    <w:rsid w:val="00A614A2"/>
    <w:rsid w:val="00A75399"/>
    <w:rsid w:val="00A778FE"/>
    <w:rsid w:val="00A77D4A"/>
    <w:rsid w:val="00A8026D"/>
    <w:rsid w:val="00A91531"/>
    <w:rsid w:val="00A93309"/>
    <w:rsid w:val="00AB23A4"/>
    <w:rsid w:val="00AB7FB2"/>
    <w:rsid w:val="00AC280A"/>
    <w:rsid w:val="00AC321E"/>
    <w:rsid w:val="00AE19F5"/>
    <w:rsid w:val="00AE2846"/>
    <w:rsid w:val="00AE337F"/>
    <w:rsid w:val="00AE4445"/>
    <w:rsid w:val="00AF763E"/>
    <w:rsid w:val="00AF76CF"/>
    <w:rsid w:val="00B022CC"/>
    <w:rsid w:val="00B03495"/>
    <w:rsid w:val="00B14C05"/>
    <w:rsid w:val="00B207F1"/>
    <w:rsid w:val="00B320F5"/>
    <w:rsid w:val="00B34FFE"/>
    <w:rsid w:val="00B408ED"/>
    <w:rsid w:val="00B40B67"/>
    <w:rsid w:val="00B4589D"/>
    <w:rsid w:val="00B51848"/>
    <w:rsid w:val="00B54933"/>
    <w:rsid w:val="00B62798"/>
    <w:rsid w:val="00B644E3"/>
    <w:rsid w:val="00B67505"/>
    <w:rsid w:val="00B67781"/>
    <w:rsid w:val="00B8158B"/>
    <w:rsid w:val="00B82EC0"/>
    <w:rsid w:val="00B8319F"/>
    <w:rsid w:val="00BC17B1"/>
    <w:rsid w:val="00BC6244"/>
    <w:rsid w:val="00BD1854"/>
    <w:rsid w:val="00BD1972"/>
    <w:rsid w:val="00BD2E8F"/>
    <w:rsid w:val="00BD2F77"/>
    <w:rsid w:val="00BD322D"/>
    <w:rsid w:val="00BD62EF"/>
    <w:rsid w:val="00BF5D39"/>
    <w:rsid w:val="00BF76F9"/>
    <w:rsid w:val="00C00531"/>
    <w:rsid w:val="00C06853"/>
    <w:rsid w:val="00C07BAD"/>
    <w:rsid w:val="00C11CBB"/>
    <w:rsid w:val="00C165BC"/>
    <w:rsid w:val="00C2266E"/>
    <w:rsid w:val="00C2686B"/>
    <w:rsid w:val="00C31D08"/>
    <w:rsid w:val="00C34BAD"/>
    <w:rsid w:val="00C4518E"/>
    <w:rsid w:val="00C5373F"/>
    <w:rsid w:val="00C54E69"/>
    <w:rsid w:val="00C662E9"/>
    <w:rsid w:val="00C73E65"/>
    <w:rsid w:val="00C75630"/>
    <w:rsid w:val="00C76DC9"/>
    <w:rsid w:val="00C807DA"/>
    <w:rsid w:val="00C8205B"/>
    <w:rsid w:val="00C857C2"/>
    <w:rsid w:val="00C92CB5"/>
    <w:rsid w:val="00C931DB"/>
    <w:rsid w:val="00CA3F32"/>
    <w:rsid w:val="00CA5DC1"/>
    <w:rsid w:val="00CA677E"/>
    <w:rsid w:val="00CA6C2F"/>
    <w:rsid w:val="00CB5311"/>
    <w:rsid w:val="00CB568E"/>
    <w:rsid w:val="00CB6551"/>
    <w:rsid w:val="00CC090B"/>
    <w:rsid w:val="00CC39C2"/>
    <w:rsid w:val="00CC7E02"/>
    <w:rsid w:val="00CD4152"/>
    <w:rsid w:val="00CD42C9"/>
    <w:rsid w:val="00CD4CBF"/>
    <w:rsid w:val="00CD6E61"/>
    <w:rsid w:val="00CE1A5D"/>
    <w:rsid w:val="00CF7427"/>
    <w:rsid w:val="00D02692"/>
    <w:rsid w:val="00D0634B"/>
    <w:rsid w:val="00D22E88"/>
    <w:rsid w:val="00D34C80"/>
    <w:rsid w:val="00D407F7"/>
    <w:rsid w:val="00D40C87"/>
    <w:rsid w:val="00D62169"/>
    <w:rsid w:val="00D77028"/>
    <w:rsid w:val="00D864D9"/>
    <w:rsid w:val="00D93C4E"/>
    <w:rsid w:val="00D96780"/>
    <w:rsid w:val="00DA0C80"/>
    <w:rsid w:val="00DA2EDB"/>
    <w:rsid w:val="00DA48E1"/>
    <w:rsid w:val="00DB239C"/>
    <w:rsid w:val="00DC0B40"/>
    <w:rsid w:val="00DC48FC"/>
    <w:rsid w:val="00DC5AF7"/>
    <w:rsid w:val="00DE2CA4"/>
    <w:rsid w:val="00DE5370"/>
    <w:rsid w:val="00DF08D8"/>
    <w:rsid w:val="00DF331B"/>
    <w:rsid w:val="00E1008C"/>
    <w:rsid w:val="00E1046C"/>
    <w:rsid w:val="00E30E0D"/>
    <w:rsid w:val="00E34EB9"/>
    <w:rsid w:val="00E35A20"/>
    <w:rsid w:val="00E45458"/>
    <w:rsid w:val="00E478E5"/>
    <w:rsid w:val="00E559DE"/>
    <w:rsid w:val="00E77BE3"/>
    <w:rsid w:val="00E826A7"/>
    <w:rsid w:val="00E83255"/>
    <w:rsid w:val="00E84D4C"/>
    <w:rsid w:val="00E95720"/>
    <w:rsid w:val="00E95C88"/>
    <w:rsid w:val="00E96F20"/>
    <w:rsid w:val="00EB0100"/>
    <w:rsid w:val="00EB4283"/>
    <w:rsid w:val="00EC609F"/>
    <w:rsid w:val="00ED2C02"/>
    <w:rsid w:val="00ED5ED3"/>
    <w:rsid w:val="00EF0FAB"/>
    <w:rsid w:val="00F06F6B"/>
    <w:rsid w:val="00F079A2"/>
    <w:rsid w:val="00F12B1C"/>
    <w:rsid w:val="00F2114E"/>
    <w:rsid w:val="00F34D7C"/>
    <w:rsid w:val="00F400DE"/>
    <w:rsid w:val="00F44888"/>
    <w:rsid w:val="00F53ECC"/>
    <w:rsid w:val="00F57008"/>
    <w:rsid w:val="00F57286"/>
    <w:rsid w:val="00F61567"/>
    <w:rsid w:val="00F64FC6"/>
    <w:rsid w:val="00F6513D"/>
    <w:rsid w:val="00F8523C"/>
    <w:rsid w:val="00F85818"/>
    <w:rsid w:val="00F96F94"/>
    <w:rsid w:val="00F97901"/>
    <w:rsid w:val="00FA0CB4"/>
    <w:rsid w:val="00FA6427"/>
    <w:rsid w:val="00FB19A3"/>
    <w:rsid w:val="00FB1A8E"/>
    <w:rsid w:val="00FB3D45"/>
    <w:rsid w:val="00FD562A"/>
    <w:rsid w:val="00FD5924"/>
    <w:rsid w:val="00FF1E37"/>
    <w:rsid w:val="00FF3EAC"/>
    <w:rsid w:val="00FF5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MX" w:eastAsia="en-US" w:bidi="ar-SA"/>
      </w:rPr>
    </w:rPrDefault>
    <w:pPrDefault>
      <w:pPr>
        <w:spacing w:after="100" w:afterAutospacing="1" w:line="360" w:lineRule="auto"/>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052"/>
    <w:pPr>
      <w:spacing w:after="200" w:afterAutospacing="0" w:line="276" w:lineRule="auto"/>
      <w:ind w:left="0"/>
      <w:jc w:val="left"/>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705052"/>
    <w:rPr>
      <w:vertAlign w:val="superscript"/>
    </w:rPr>
  </w:style>
  <w:style w:type="paragraph" w:styleId="Textonotapie">
    <w:name w:val="footnote text"/>
    <w:basedOn w:val="Normal"/>
    <w:link w:val="TextonotapieCar"/>
    <w:uiPriority w:val="99"/>
    <w:unhideWhenUsed/>
    <w:rsid w:val="00705052"/>
    <w:pPr>
      <w:spacing w:after="0" w:line="240" w:lineRule="auto"/>
      <w:jc w:val="both"/>
    </w:pPr>
    <w:rPr>
      <w:rFonts w:ascii="Arial" w:hAnsi="Arial" w:cs="Arial"/>
      <w:sz w:val="20"/>
      <w:szCs w:val="20"/>
    </w:rPr>
  </w:style>
  <w:style w:type="character" w:customStyle="1" w:styleId="TextonotapieCar">
    <w:name w:val="Texto nota pie Car"/>
    <w:basedOn w:val="Fuentedeprrafopredeter"/>
    <w:link w:val="Textonotapie"/>
    <w:uiPriority w:val="99"/>
    <w:rsid w:val="00705052"/>
    <w:rPr>
      <w:rFonts w:cs="Arial"/>
      <w:sz w:val="20"/>
      <w:szCs w:val="20"/>
    </w:rPr>
  </w:style>
  <w:style w:type="character" w:styleId="Hipervnculo">
    <w:name w:val="Hyperlink"/>
    <w:basedOn w:val="Fuentedeprrafopredeter"/>
    <w:uiPriority w:val="99"/>
    <w:unhideWhenUsed/>
    <w:rsid w:val="0032368C"/>
    <w:rPr>
      <w:color w:val="0563C1" w:themeColor="hyperlink"/>
      <w:u w:val="single"/>
    </w:rPr>
  </w:style>
  <w:style w:type="paragraph" w:styleId="Bibliografa">
    <w:name w:val="Bibliography"/>
    <w:basedOn w:val="Normal"/>
    <w:next w:val="Normal"/>
    <w:uiPriority w:val="37"/>
    <w:unhideWhenUsed/>
    <w:rsid w:val="003F41C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MX"/>
    </w:rPr>
  </w:style>
  <w:style w:type="paragraph" w:styleId="Encabezado">
    <w:name w:val="header"/>
    <w:basedOn w:val="Normal"/>
    <w:link w:val="EncabezadoCar"/>
    <w:uiPriority w:val="99"/>
    <w:unhideWhenUsed/>
    <w:rsid w:val="003F4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1C1"/>
    <w:rPr>
      <w:rFonts w:asciiTheme="minorHAnsi" w:hAnsiTheme="minorHAnsi"/>
      <w:sz w:val="22"/>
    </w:rPr>
  </w:style>
  <w:style w:type="paragraph" w:styleId="Piedepgina">
    <w:name w:val="footer"/>
    <w:basedOn w:val="Normal"/>
    <w:link w:val="PiedepginaCar"/>
    <w:uiPriority w:val="99"/>
    <w:unhideWhenUsed/>
    <w:rsid w:val="003F4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1C1"/>
    <w:rPr>
      <w:rFonts w:asciiTheme="minorHAnsi" w:hAnsiTheme="minorHAnsi"/>
      <w:sz w:val="22"/>
    </w:rPr>
  </w:style>
  <w:style w:type="paragraph" w:styleId="Textodeglobo">
    <w:name w:val="Balloon Text"/>
    <w:basedOn w:val="Normal"/>
    <w:link w:val="TextodegloboCar"/>
    <w:uiPriority w:val="99"/>
    <w:semiHidden/>
    <w:unhideWhenUsed/>
    <w:rsid w:val="00327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85C"/>
    <w:rPr>
      <w:rFonts w:ascii="Tahoma" w:hAnsi="Tahoma" w:cs="Tahoma"/>
      <w:sz w:val="16"/>
      <w:szCs w:val="16"/>
    </w:rPr>
  </w:style>
  <w:style w:type="paragraph" w:styleId="Prrafodelista">
    <w:name w:val="List Paragraph"/>
    <w:basedOn w:val="Normal"/>
    <w:uiPriority w:val="34"/>
    <w:qFormat/>
    <w:rsid w:val="00AC280A"/>
    <w:pPr>
      <w:spacing w:after="0" w:line="240" w:lineRule="auto"/>
      <w:ind w:left="708"/>
    </w:pPr>
    <w:rPr>
      <w:rFonts w:ascii="Times New Roman" w:eastAsia="Times New Roman" w:hAnsi="Times New Roman" w:cs="Times New Roman"/>
      <w:sz w:val="24"/>
      <w:szCs w:val="24"/>
    </w:rPr>
  </w:style>
  <w:style w:type="table" w:styleId="Tablaconcuadrcula">
    <w:name w:val="Table Grid"/>
    <w:basedOn w:val="Tablanormal"/>
    <w:uiPriority w:val="39"/>
    <w:rsid w:val="00B4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C406E"/>
    <w:pPr>
      <w:spacing w:after="0" w:afterAutospacing="0" w:line="240" w:lineRule="auto"/>
      <w:ind w:left="0"/>
      <w:jc w:val="left"/>
    </w:pPr>
    <w:rPr>
      <w:rFonts w:asciiTheme="minorHAnsi" w:hAnsiTheme="minorHAnsi"/>
      <w:sz w:val="22"/>
    </w:rPr>
  </w:style>
  <w:style w:type="character" w:customStyle="1" w:styleId="st">
    <w:name w:val="st"/>
    <w:basedOn w:val="Fuentedeprrafopredeter"/>
    <w:rsid w:val="00B207F1"/>
  </w:style>
  <w:style w:type="character" w:styleId="nfasis">
    <w:name w:val="Emphasis"/>
    <w:basedOn w:val="Fuentedeprrafopredeter"/>
    <w:uiPriority w:val="20"/>
    <w:qFormat/>
    <w:rsid w:val="00B207F1"/>
    <w:rPr>
      <w:i/>
      <w:iCs/>
    </w:rPr>
  </w:style>
  <w:style w:type="paragraph" w:customStyle="1" w:styleId="normaltext">
    <w:name w:val="normaltext"/>
    <w:basedOn w:val="Normal"/>
    <w:rsid w:val="00172481"/>
    <w:pPr>
      <w:spacing w:before="100" w:beforeAutospacing="1" w:after="100" w:afterAutospacing="1" w:line="240" w:lineRule="auto"/>
      <w:jc w:val="both"/>
    </w:pPr>
    <w:rPr>
      <w:rFonts w:ascii="Verdana" w:eastAsia="Times New Roman" w:hAnsi="Verdana" w:cs="Times New Roman"/>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MX" w:eastAsia="en-US" w:bidi="ar-SA"/>
      </w:rPr>
    </w:rPrDefault>
    <w:pPrDefault>
      <w:pPr>
        <w:spacing w:after="100" w:afterAutospacing="1" w:line="360" w:lineRule="auto"/>
        <w:ind w:left="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052"/>
    <w:pPr>
      <w:spacing w:after="200" w:afterAutospacing="0" w:line="276" w:lineRule="auto"/>
      <w:ind w:left="0"/>
      <w:jc w:val="left"/>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705052"/>
    <w:rPr>
      <w:vertAlign w:val="superscript"/>
    </w:rPr>
  </w:style>
  <w:style w:type="paragraph" w:styleId="Textonotapie">
    <w:name w:val="footnote text"/>
    <w:basedOn w:val="Normal"/>
    <w:link w:val="TextonotapieCar"/>
    <w:uiPriority w:val="99"/>
    <w:unhideWhenUsed/>
    <w:rsid w:val="00705052"/>
    <w:pPr>
      <w:spacing w:after="0" w:line="240" w:lineRule="auto"/>
      <w:jc w:val="both"/>
    </w:pPr>
    <w:rPr>
      <w:rFonts w:ascii="Arial" w:hAnsi="Arial" w:cs="Arial"/>
      <w:sz w:val="20"/>
      <w:szCs w:val="20"/>
    </w:rPr>
  </w:style>
  <w:style w:type="character" w:customStyle="1" w:styleId="TextonotapieCar">
    <w:name w:val="Texto nota pie Car"/>
    <w:basedOn w:val="Fuentedeprrafopredeter"/>
    <w:link w:val="Textonotapie"/>
    <w:uiPriority w:val="99"/>
    <w:rsid w:val="00705052"/>
    <w:rPr>
      <w:rFonts w:cs="Arial"/>
      <w:sz w:val="20"/>
      <w:szCs w:val="20"/>
    </w:rPr>
  </w:style>
  <w:style w:type="character" w:styleId="Hipervnculo">
    <w:name w:val="Hyperlink"/>
    <w:basedOn w:val="Fuentedeprrafopredeter"/>
    <w:uiPriority w:val="99"/>
    <w:unhideWhenUsed/>
    <w:rsid w:val="0032368C"/>
    <w:rPr>
      <w:color w:val="0563C1" w:themeColor="hyperlink"/>
      <w:u w:val="single"/>
    </w:rPr>
  </w:style>
  <w:style w:type="paragraph" w:styleId="Bibliografa">
    <w:name w:val="Bibliography"/>
    <w:basedOn w:val="Normal"/>
    <w:next w:val="Normal"/>
    <w:uiPriority w:val="37"/>
    <w:unhideWhenUsed/>
    <w:rsid w:val="003F41C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MX"/>
    </w:rPr>
  </w:style>
  <w:style w:type="paragraph" w:styleId="Encabezado">
    <w:name w:val="header"/>
    <w:basedOn w:val="Normal"/>
    <w:link w:val="EncabezadoCar"/>
    <w:uiPriority w:val="99"/>
    <w:unhideWhenUsed/>
    <w:rsid w:val="003F41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1C1"/>
    <w:rPr>
      <w:rFonts w:asciiTheme="minorHAnsi" w:hAnsiTheme="minorHAnsi"/>
      <w:sz w:val="22"/>
    </w:rPr>
  </w:style>
  <w:style w:type="paragraph" w:styleId="Piedepgina">
    <w:name w:val="footer"/>
    <w:basedOn w:val="Normal"/>
    <w:link w:val="PiedepginaCar"/>
    <w:uiPriority w:val="99"/>
    <w:unhideWhenUsed/>
    <w:rsid w:val="003F41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1C1"/>
    <w:rPr>
      <w:rFonts w:asciiTheme="minorHAnsi" w:hAnsiTheme="minorHAnsi"/>
      <w:sz w:val="22"/>
    </w:rPr>
  </w:style>
  <w:style w:type="paragraph" w:styleId="Textodeglobo">
    <w:name w:val="Balloon Text"/>
    <w:basedOn w:val="Normal"/>
    <w:link w:val="TextodegloboCar"/>
    <w:uiPriority w:val="99"/>
    <w:semiHidden/>
    <w:unhideWhenUsed/>
    <w:rsid w:val="0032785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785C"/>
    <w:rPr>
      <w:rFonts w:ascii="Tahoma" w:hAnsi="Tahoma" w:cs="Tahoma"/>
      <w:sz w:val="16"/>
      <w:szCs w:val="16"/>
    </w:rPr>
  </w:style>
  <w:style w:type="paragraph" w:styleId="Prrafodelista">
    <w:name w:val="List Paragraph"/>
    <w:basedOn w:val="Normal"/>
    <w:uiPriority w:val="34"/>
    <w:qFormat/>
    <w:rsid w:val="00AC280A"/>
    <w:pPr>
      <w:spacing w:after="0" w:line="240" w:lineRule="auto"/>
      <w:ind w:left="708"/>
    </w:pPr>
    <w:rPr>
      <w:rFonts w:ascii="Times New Roman" w:eastAsia="Times New Roman" w:hAnsi="Times New Roman" w:cs="Times New Roman"/>
      <w:sz w:val="24"/>
      <w:szCs w:val="24"/>
    </w:rPr>
  </w:style>
  <w:style w:type="table" w:styleId="Tablaconcuadrcula">
    <w:name w:val="Table Grid"/>
    <w:basedOn w:val="Tablanormal"/>
    <w:uiPriority w:val="39"/>
    <w:rsid w:val="00B45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C406E"/>
    <w:pPr>
      <w:spacing w:after="0" w:afterAutospacing="0" w:line="240" w:lineRule="auto"/>
      <w:ind w:left="0"/>
      <w:jc w:val="left"/>
    </w:pPr>
    <w:rPr>
      <w:rFonts w:asciiTheme="minorHAnsi" w:hAnsiTheme="minorHAnsi"/>
      <w:sz w:val="22"/>
    </w:rPr>
  </w:style>
  <w:style w:type="character" w:customStyle="1" w:styleId="st">
    <w:name w:val="st"/>
    <w:basedOn w:val="Fuentedeprrafopredeter"/>
    <w:rsid w:val="00B207F1"/>
  </w:style>
  <w:style w:type="character" w:styleId="nfasis">
    <w:name w:val="Emphasis"/>
    <w:basedOn w:val="Fuentedeprrafopredeter"/>
    <w:uiPriority w:val="20"/>
    <w:qFormat/>
    <w:rsid w:val="00B207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4810">
      <w:bodyDiv w:val="1"/>
      <w:marLeft w:val="0"/>
      <w:marRight w:val="0"/>
      <w:marTop w:val="0"/>
      <w:marBottom w:val="0"/>
      <w:divBdr>
        <w:top w:val="none" w:sz="0" w:space="0" w:color="auto"/>
        <w:left w:val="none" w:sz="0" w:space="0" w:color="auto"/>
        <w:bottom w:val="none" w:sz="0" w:space="0" w:color="auto"/>
        <w:right w:val="none" w:sz="0" w:space="0" w:color="auto"/>
      </w:divBdr>
    </w:div>
    <w:div w:id="917208524">
      <w:bodyDiv w:val="1"/>
      <w:marLeft w:val="0"/>
      <w:marRight w:val="0"/>
      <w:marTop w:val="0"/>
      <w:marBottom w:val="0"/>
      <w:divBdr>
        <w:top w:val="none" w:sz="0" w:space="0" w:color="auto"/>
        <w:left w:val="none" w:sz="0" w:space="0" w:color="auto"/>
        <w:bottom w:val="none" w:sz="0" w:space="0" w:color="auto"/>
        <w:right w:val="none" w:sz="0" w:space="0" w:color="auto"/>
      </w:divBdr>
      <w:divsChild>
        <w:div w:id="686753845">
          <w:marLeft w:val="0"/>
          <w:marRight w:val="0"/>
          <w:marTop w:val="0"/>
          <w:marBottom w:val="0"/>
          <w:divBdr>
            <w:top w:val="none" w:sz="0" w:space="0" w:color="auto"/>
            <w:left w:val="none" w:sz="0" w:space="0" w:color="auto"/>
            <w:bottom w:val="none" w:sz="0" w:space="0" w:color="auto"/>
            <w:right w:val="none" w:sz="0" w:space="0" w:color="auto"/>
          </w:divBdr>
        </w:div>
        <w:div w:id="1961496457">
          <w:marLeft w:val="0"/>
          <w:marRight w:val="0"/>
          <w:marTop w:val="0"/>
          <w:marBottom w:val="0"/>
          <w:divBdr>
            <w:top w:val="none" w:sz="0" w:space="0" w:color="auto"/>
            <w:left w:val="none" w:sz="0" w:space="0" w:color="auto"/>
            <w:bottom w:val="none" w:sz="0" w:space="0" w:color="auto"/>
            <w:right w:val="none" w:sz="0" w:space="0" w:color="auto"/>
          </w:divBdr>
        </w:div>
        <w:div w:id="45420206">
          <w:marLeft w:val="0"/>
          <w:marRight w:val="0"/>
          <w:marTop w:val="0"/>
          <w:marBottom w:val="0"/>
          <w:divBdr>
            <w:top w:val="none" w:sz="0" w:space="0" w:color="auto"/>
            <w:left w:val="none" w:sz="0" w:space="0" w:color="auto"/>
            <w:bottom w:val="none" w:sz="0" w:space="0" w:color="auto"/>
            <w:right w:val="none" w:sz="0" w:space="0" w:color="auto"/>
          </w:divBdr>
        </w:div>
        <w:div w:id="658582513">
          <w:marLeft w:val="0"/>
          <w:marRight w:val="0"/>
          <w:marTop w:val="0"/>
          <w:marBottom w:val="0"/>
          <w:divBdr>
            <w:top w:val="none" w:sz="0" w:space="0" w:color="auto"/>
            <w:left w:val="none" w:sz="0" w:space="0" w:color="auto"/>
            <w:bottom w:val="none" w:sz="0" w:space="0" w:color="auto"/>
            <w:right w:val="none" w:sz="0" w:space="0" w:color="auto"/>
          </w:divBdr>
        </w:div>
        <w:div w:id="1071856085">
          <w:marLeft w:val="0"/>
          <w:marRight w:val="0"/>
          <w:marTop w:val="0"/>
          <w:marBottom w:val="0"/>
          <w:divBdr>
            <w:top w:val="none" w:sz="0" w:space="0" w:color="auto"/>
            <w:left w:val="none" w:sz="0" w:space="0" w:color="auto"/>
            <w:bottom w:val="none" w:sz="0" w:space="0" w:color="auto"/>
            <w:right w:val="none" w:sz="0" w:space="0" w:color="auto"/>
          </w:divBdr>
        </w:div>
        <w:div w:id="846939350">
          <w:marLeft w:val="0"/>
          <w:marRight w:val="0"/>
          <w:marTop w:val="0"/>
          <w:marBottom w:val="0"/>
          <w:divBdr>
            <w:top w:val="none" w:sz="0" w:space="0" w:color="auto"/>
            <w:left w:val="none" w:sz="0" w:space="0" w:color="auto"/>
            <w:bottom w:val="none" w:sz="0" w:space="0" w:color="auto"/>
            <w:right w:val="none" w:sz="0" w:space="0" w:color="auto"/>
          </w:divBdr>
        </w:div>
        <w:div w:id="1606960816">
          <w:marLeft w:val="0"/>
          <w:marRight w:val="0"/>
          <w:marTop w:val="0"/>
          <w:marBottom w:val="0"/>
          <w:divBdr>
            <w:top w:val="none" w:sz="0" w:space="0" w:color="auto"/>
            <w:left w:val="none" w:sz="0" w:space="0" w:color="auto"/>
            <w:bottom w:val="none" w:sz="0" w:space="0" w:color="auto"/>
            <w:right w:val="none" w:sz="0" w:space="0" w:color="auto"/>
          </w:divBdr>
        </w:div>
        <w:div w:id="1833376695">
          <w:marLeft w:val="0"/>
          <w:marRight w:val="0"/>
          <w:marTop w:val="0"/>
          <w:marBottom w:val="0"/>
          <w:divBdr>
            <w:top w:val="none" w:sz="0" w:space="0" w:color="auto"/>
            <w:left w:val="none" w:sz="0" w:space="0" w:color="auto"/>
            <w:bottom w:val="none" w:sz="0" w:space="0" w:color="auto"/>
            <w:right w:val="none" w:sz="0" w:space="0" w:color="auto"/>
          </w:divBdr>
        </w:div>
        <w:div w:id="1317494307">
          <w:marLeft w:val="0"/>
          <w:marRight w:val="0"/>
          <w:marTop w:val="0"/>
          <w:marBottom w:val="0"/>
          <w:divBdr>
            <w:top w:val="none" w:sz="0" w:space="0" w:color="auto"/>
            <w:left w:val="none" w:sz="0" w:space="0" w:color="auto"/>
            <w:bottom w:val="none" w:sz="0" w:space="0" w:color="auto"/>
            <w:right w:val="none" w:sz="0" w:space="0" w:color="auto"/>
          </w:divBdr>
        </w:div>
        <w:div w:id="2095740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p.gob.m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le.rae.es/?w=diccionari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orks.bepress.com/cgi/viewcontent.cgi?article=1000&amp;contex=deborah_merritt" TargetMode="External"/><Relationship Id="rId5" Type="http://schemas.openxmlformats.org/officeDocument/2006/relationships/settings" Target="settings.xml"/><Relationship Id="rId15" Type="http://schemas.openxmlformats.org/officeDocument/2006/relationships/hyperlink" Target="http://www.utaltamira.edu.mx/" TargetMode="External"/><Relationship Id="rId10" Type="http://schemas.openxmlformats.org/officeDocument/2006/relationships/hyperlink" Target="http://www.cgut.sep.gob.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ggonzalez@utaltamira.edu.mx" TargetMode="External"/><Relationship Id="rId14" Type="http://schemas.openxmlformats.org/officeDocument/2006/relationships/hyperlink" Target="http://www.ses.sep.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5148A-0203-4EB2-88D2-DACB51710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3512</Words>
  <Characters>19322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Esquivel Ocádiz</dc:creator>
  <cp:lastModifiedBy>Gustavo Toledo Andrade</cp:lastModifiedBy>
  <cp:revision>2</cp:revision>
  <dcterms:created xsi:type="dcterms:W3CDTF">2017-02-08T14:44:00Z</dcterms:created>
  <dcterms:modified xsi:type="dcterms:W3CDTF">2017-02-08T14:44:00Z</dcterms:modified>
</cp:coreProperties>
</file>