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03DDD" w14:textId="7E523840" w:rsidR="00237041" w:rsidRDefault="00EE153A" w:rsidP="003F49A1">
      <w:pPr>
        <w:widowControl w:val="0"/>
        <w:autoSpaceDE w:val="0"/>
        <w:autoSpaceDN w:val="0"/>
        <w:adjustRightInd w:val="0"/>
        <w:spacing w:line="276" w:lineRule="auto"/>
        <w:jc w:val="right"/>
        <w:rPr>
          <w:rFonts w:ascii="Calibri" w:eastAsia="Times New Roman" w:hAnsi="Calibri" w:cs="Calibri"/>
          <w:color w:val="000000"/>
          <w:sz w:val="36"/>
          <w:szCs w:val="36"/>
          <w:lang w:val="es-MX" w:eastAsia="es-MX"/>
        </w:rPr>
      </w:pPr>
      <w:r w:rsidRPr="003F49A1">
        <w:rPr>
          <w:rFonts w:ascii="Calibri" w:eastAsia="Times New Roman" w:hAnsi="Calibri" w:cs="Calibri"/>
          <w:color w:val="000000"/>
          <w:sz w:val="36"/>
          <w:szCs w:val="36"/>
          <w:lang w:val="es-MX" w:eastAsia="es-MX"/>
        </w:rPr>
        <w:t>Análisis  del contexto y dimensiones de la economía del conocimiento y su impacto en la calidad de la educación</w:t>
      </w:r>
    </w:p>
    <w:p w14:paraId="3344E364" w14:textId="120468CF" w:rsidR="003F49A1" w:rsidRPr="003F49A1" w:rsidRDefault="003F49A1" w:rsidP="003F49A1">
      <w:pPr>
        <w:widowControl w:val="0"/>
        <w:autoSpaceDE w:val="0"/>
        <w:autoSpaceDN w:val="0"/>
        <w:adjustRightInd w:val="0"/>
        <w:spacing w:line="276" w:lineRule="auto"/>
        <w:jc w:val="right"/>
        <w:rPr>
          <w:rFonts w:ascii="Calibri" w:eastAsia="Times New Roman" w:hAnsi="Calibri" w:cs="Calibri"/>
          <w:i/>
          <w:color w:val="000000"/>
          <w:sz w:val="28"/>
          <w:szCs w:val="36"/>
          <w:lang w:val="es-MX" w:eastAsia="es-MX"/>
        </w:rPr>
      </w:pPr>
      <w:r>
        <w:rPr>
          <w:rFonts w:ascii="Calibri" w:eastAsia="Times New Roman" w:hAnsi="Calibri" w:cs="Calibri"/>
          <w:i/>
          <w:color w:val="000000"/>
          <w:sz w:val="28"/>
          <w:szCs w:val="36"/>
          <w:lang w:val="es-MX" w:eastAsia="es-MX"/>
        </w:rPr>
        <w:br/>
      </w:r>
      <w:r w:rsidRPr="003F49A1">
        <w:rPr>
          <w:rFonts w:ascii="Calibri" w:eastAsia="Times New Roman" w:hAnsi="Calibri" w:cs="Calibri"/>
          <w:i/>
          <w:color w:val="000000"/>
          <w:sz w:val="28"/>
          <w:szCs w:val="36"/>
          <w:lang w:val="es-MX" w:eastAsia="es-MX"/>
        </w:rPr>
        <w:t>Analysis of the context and dimensions of the knowledge economy and its impact on the quality of education</w:t>
      </w:r>
    </w:p>
    <w:p w14:paraId="201FAB35" w14:textId="3781A742" w:rsidR="00785AB0" w:rsidRDefault="00237041" w:rsidP="00237041">
      <w:pPr>
        <w:spacing w:line="360" w:lineRule="auto"/>
        <w:jc w:val="right"/>
        <w:rPr>
          <w:rFonts w:ascii="Arial" w:hAnsi="Arial" w:cs="Arial"/>
          <w:sz w:val="28"/>
          <w:szCs w:val="28"/>
        </w:rPr>
      </w:pPr>
      <w:r>
        <w:rPr>
          <w:rFonts w:ascii="Arial" w:hAnsi="Arial" w:cs="Arial"/>
          <w:sz w:val="28"/>
          <w:szCs w:val="28"/>
        </w:rPr>
        <w:t xml:space="preserve"> </w:t>
      </w:r>
    </w:p>
    <w:p w14:paraId="79F7C3CD" w14:textId="77777777" w:rsidR="00785AB0" w:rsidRPr="003F49A1" w:rsidRDefault="00785AB0" w:rsidP="003F49A1">
      <w:pPr>
        <w:spacing w:line="276" w:lineRule="auto"/>
        <w:jc w:val="right"/>
        <w:rPr>
          <w:rFonts w:ascii="Calibri" w:eastAsia="Calibri" w:hAnsi="Calibri" w:cs="Calibri"/>
          <w:b/>
          <w:lang w:val="es-ES" w:eastAsia="es-ES_tradnl"/>
        </w:rPr>
      </w:pPr>
      <w:r w:rsidRPr="003F49A1">
        <w:rPr>
          <w:rFonts w:ascii="Calibri" w:eastAsia="Calibri" w:hAnsi="Calibri" w:cs="Calibri"/>
          <w:b/>
          <w:lang w:val="es-ES" w:eastAsia="es-ES_tradnl"/>
        </w:rPr>
        <w:t>Alicia Navarrete Hernández</w:t>
      </w:r>
    </w:p>
    <w:p w14:paraId="22A9B3AA" w14:textId="5D53930F" w:rsidR="00785AB0" w:rsidRPr="003F49A1" w:rsidRDefault="00785AB0" w:rsidP="003F49A1">
      <w:pPr>
        <w:spacing w:line="276" w:lineRule="auto"/>
        <w:jc w:val="right"/>
        <w:rPr>
          <w:rFonts w:asciiTheme="majorHAnsi" w:eastAsia="Calibri" w:hAnsiTheme="majorHAnsi"/>
          <w:szCs w:val="22"/>
          <w:lang w:val="es-MX" w:eastAsia="en-US"/>
        </w:rPr>
      </w:pPr>
      <w:r w:rsidRPr="003F49A1">
        <w:rPr>
          <w:rFonts w:asciiTheme="majorHAnsi" w:eastAsia="Calibri" w:hAnsiTheme="majorHAnsi"/>
          <w:szCs w:val="22"/>
          <w:lang w:val="es-MX" w:eastAsia="en-US"/>
        </w:rPr>
        <w:t>Escuela Superior de Turismo</w:t>
      </w:r>
      <w:r w:rsidR="003F49A1" w:rsidRPr="003F49A1">
        <w:rPr>
          <w:rFonts w:asciiTheme="majorHAnsi" w:eastAsia="Calibri" w:hAnsiTheme="majorHAnsi"/>
          <w:szCs w:val="22"/>
          <w:lang w:val="es-MX" w:eastAsia="en-US"/>
        </w:rPr>
        <w:t xml:space="preserve">, </w:t>
      </w:r>
      <w:r w:rsidRPr="003F49A1">
        <w:rPr>
          <w:rFonts w:asciiTheme="majorHAnsi" w:eastAsia="Calibri" w:hAnsiTheme="majorHAnsi"/>
          <w:szCs w:val="22"/>
          <w:lang w:val="es-MX" w:eastAsia="en-US"/>
        </w:rPr>
        <w:t>Instituto Politécnico Nacional</w:t>
      </w:r>
      <w:r w:rsidR="003F49A1" w:rsidRPr="003F49A1">
        <w:rPr>
          <w:rFonts w:asciiTheme="majorHAnsi" w:eastAsia="Calibri" w:hAnsiTheme="majorHAnsi"/>
          <w:szCs w:val="22"/>
          <w:lang w:val="es-MX" w:eastAsia="en-US"/>
        </w:rPr>
        <w:t>, México</w:t>
      </w:r>
    </w:p>
    <w:p w14:paraId="635E5653" w14:textId="77777777" w:rsidR="00785AB0" w:rsidRPr="003F49A1" w:rsidRDefault="005C2C95" w:rsidP="003F49A1">
      <w:pPr>
        <w:spacing w:line="276" w:lineRule="auto"/>
        <w:jc w:val="right"/>
        <w:rPr>
          <w:rStyle w:val="Hipervnculo"/>
          <w:rFonts w:ascii="Calibri" w:eastAsiaTheme="minorHAnsi" w:hAnsi="Calibri" w:cs="Calibri"/>
          <w:color w:val="FF0000"/>
          <w:szCs w:val="22"/>
          <w:u w:val="none"/>
          <w:lang w:val="es-MX" w:eastAsia="es-ES_tradnl"/>
        </w:rPr>
      </w:pPr>
      <w:hyperlink r:id="rId8" w:history="1">
        <w:r w:rsidR="00785AB0" w:rsidRPr="003F49A1">
          <w:rPr>
            <w:rStyle w:val="Hipervnculo"/>
            <w:rFonts w:ascii="Calibri" w:eastAsiaTheme="minorHAnsi" w:hAnsi="Calibri" w:cs="Calibri"/>
            <w:color w:val="FF0000"/>
            <w:szCs w:val="22"/>
            <w:u w:val="none"/>
            <w:lang w:val="es-MX" w:eastAsia="es-ES_tradnl"/>
          </w:rPr>
          <w:t>anavarreteh@ipn.mx</w:t>
        </w:r>
      </w:hyperlink>
    </w:p>
    <w:p w14:paraId="0B46103D" w14:textId="77777777" w:rsidR="00785AB0" w:rsidRPr="00785AB0" w:rsidRDefault="00785AB0" w:rsidP="00785AB0">
      <w:pPr>
        <w:jc w:val="right"/>
        <w:rPr>
          <w:rFonts w:ascii="Arial" w:hAnsi="Arial" w:cs="Arial"/>
        </w:rPr>
      </w:pPr>
    </w:p>
    <w:p w14:paraId="19E9AD09" w14:textId="77777777" w:rsidR="00785AB0" w:rsidRDefault="00785AB0" w:rsidP="00785AB0">
      <w:pPr>
        <w:jc w:val="right"/>
        <w:rPr>
          <w:rFonts w:ascii="Arial" w:hAnsi="Arial" w:cs="Arial"/>
        </w:rPr>
      </w:pPr>
    </w:p>
    <w:p w14:paraId="349FE094" w14:textId="77777777" w:rsidR="00A50FED" w:rsidRDefault="00A50FED" w:rsidP="00A50FED">
      <w:pPr>
        <w:jc w:val="both"/>
        <w:rPr>
          <w:rFonts w:ascii="Arial" w:hAnsi="Arial" w:cs="Arial"/>
        </w:rPr>
      </w:pPr>
    </w:p>
    <w:p w14:paraId="74774AFB" w14:textId="1E97191F" w:rsidR="00C409D9" w:rsidRPr="009B087C" w:rsidRDefault="009B087C" w:rsidP="00A50FED">
      <w:pPr>
        <w:jc w:val="both"/>
        <w:rPr>
          <w:rFonts w:ascii="Arial" w:hAnsi="Arial" w:cs="Arial"/>
          <w:b/>
        </w:rPr>
      </w:pPr>
      <w:r w:rsidRPr="003F49A1">
        <w:rPr>
          <w:rFonts w:ascii="Calibri" w:eastAsia="Cambria" w:hAnsi="Calibri" w:cs="Times New Roman"/>
          <w:b/>
          <w:color w:val="000000"/>
          <w:sz w:val="28"/>
          <w:lang w:val="es-MX"/>
        </w:rPr>
        <w:t>Resumen</w:t>
      </w:r>
    </w:p>
    <w:p w14:paraId="26CFD396" w14:textId="77777777" w:rsidR="009B087C" w:rsidRDefault="009B087C" w:rsidP="00A50FED">
      <w:pPr>
        <w:jc w:val="both"/>
        <w:rPr>
          <w:rFonts w:ascii="Arial" w:hAnsi="Arial" w:cs="Arial"/>
        </w:rPr>
      </w:pPr>
    </w:p>
    <w:p w14:paraId="26866233" w14:textId="7AB480C8" w:rsidR="00A06FDA" w:rsidRPr="003F49A1" w:rsidRDefault="00855859" w:rsidP="003F49A1">
      <w:pPr>
        <w:spacing w:line="360" w:lineRule="auto"/>
        <w:jc w:val="both"/>
        <w:rPr>
          <w:rFonts w:ascii="Times New Roman" w:hAnsi="Times New Roman" w:cs="Times New Roman"/>
        </w:rPr>
      </w:pPr>
      <w:r w:rsidRPr="003F49A1">
        <w:rPr>
          <w:rFonts w:ascii="Times New Roman" w:hAnsi="Times New Roman" w:cs="Times New Roman"/>
        </w:rPr>
        <w:t>La economía del conocimiento, es un tema de gran relevancia a nivel global, por el impacto que causa para determinar la competitividad de las naciones, es por ello que</w:t>
      </w:r>
      <w:r w:rsidR="00803A98" w:rsidRPr="003F49A1">
        <w:rPr>
          <w:rFonts w:ascii="Times New Roman" w:hAnsi="Times New Roman" w:cs="Times New Roman"/>
        </w:rPr>
        <w:t xml:space="preserve"> través de ésta</w:t>
      </w:r>
      <w:r w:rsidR="00A06FDA" w:rsidRPr="003F49A1">
        <w:rPr>
          <w:rFonts w:ascii="Times New Roman" w:hAnsi="Times New Roman" w:cs="Times New Roman"/>
        </w:rPr>
        <w:t xml:space="preserve"> investigación se obtuvo como</w:t>
      </w:r>
      <w:r w:rsidRPr="003F49A1">
        <w:rPr>
          <w:rFonts w:ascii="Times New Roman" w:hAnsi="Times New Roman" w:cs="Times New Roman"/>
        </w:rPr>
        <w:t xml:space="preserve"> </w:t>
      </w:r>
      <w:r w:rsidR="00A06FDA" w:rsidRPr="003F49A1">
        <w:rPr>
          <w:rFonts w:ascii="Times New Roman" w:hAnsi="Times New Roman" w:cs="Times New Roman"/>
        </w:rPr>
        <w:t xml:space="preserve">resultado </w:t>
      </w:r>
      <w:r w:rsidR="003F1FA5" w:rsidRPr="003F49A1">
        <w:rPr>
          <w:rFonts w:ascii="Times New Roman" w:hAnsi="Times New Roman" w:cs="Times New Roman"/>
        </w:rPr>
        <w:t xml:space="preserve">el análisis </w:t>
      </w:r>
      <w:r w:rsidR="00A06FDA" w:rsidRPr="003F49A1">
        <w:rPr>
          <w:rFonts w:ascii="Times New Roman" w:hAnsi="Times New Roman" w:cs="Times New Roman"/>
        </w:rPr>
        <w:t>de los principales indicadores que evalúan la economía del conocimiento,</w:t>
      </w:r>
      <w:r w:rsidR="002F6090" w:rsidRPr="003F49A1">
        <w:rPr>
          <w:rFonts w:ascii="Times New Roman" w:hAnsi="Times New Roman" w:cs="Times New Roman"/>
        </w:rPr>
        <w:t xml:space="preserve"> así como el</w:t>
      </w:r>
      <w:r w:rsidR="00175BD3" w:rsidRPr="003F49A1">
        <w:rPr>
          <w:rFonts w:ascii="Times New Roman" w:hAnsi="Times New Roman" w:cs="Times New Roman"/>
        </w:rPr>
        <w:t xml:space="preserve"> contexto y componentes</w:t>
      </w:r>
      <w:r w:rsidR="00A06FDA" w:rsidRPr="003F49A1">
        <w:rPr>
          <w:rFonts w:ascii="Times New Roman" w:hAnsi="Times New Roman" w:cs="Times New Roman"/>
        </w:rPr>
        <w:t xml:space="preserve"> </w:t>
      </w:r>
      <w:r w:rsidR="00175BD3" w:rsidRPr="003F49A1">
        <w:rPr>
          <w:rFonts w:ascii="Times New Roman" w:hAnsi="Times New Roman" w:cs="Times New Roman"/>
        </w:rPr>
        <w:t>que impact</w:t>
      </w:r>
      <w:r w:rsidR="00425A95" w:rsidRPr="003F49A1">
        <w:rPr>
          <w:rFonts w:ascii="Times New Roman" w:hAnsi="Times New Roman" w:cs="Times New Roman"/>
        </w:rPr>
        <w:t xml:space="preserve">an en la calidad del aprendizaje; </w:t>
      </w:r>
      <w:r w:rsidR="00115E32" w:rsidRPr="003F49A1">
        <w:rPr>
          <w:rFonts w:ascii="Times New Roman" w:hAnsi="Times New Roman" w:cs="Times New Roman"/>
        </w:rPr>
        <w:t>por consiguiente se</w:t>
      </w:r>
      <w:r w:rsidR="00175BD3" w:rsidRPr="003F49A1">
        <w:rPr>
          <w:rFonts w:ascii="Times New Roman" w:hAnsi="Times New Roman" w:cs="Times New Roman"/>
        </w:rPr>
        <w:t xml:space="preserve"> </w:t>
      </w:r>
      <w:r w:rsidR="00A525FC" w:rsidRPr="003F49A1">
        <w:rPr>
          <w:rFonts w:ascii="Times New Roman" w:hAnsi="Times New Roman" w:cs="Times New Roman"/>
        </w:rPr>
        <w:t xml:space="preserve">implementó </w:t>
      </w:r>
      <w:r w:rsidR="00175BD3" w:rsidRPr="003F49A1">
        <w:rPr>
          <w:rFonts w:ascii="Times New Roman" w:hAnsi="Times New Roman" w:cs="Times New Roman"/>
        </w:rPr>
        <w:t xml:space="preserve">el </w:t>
      </w:r>
      <w:r w:rsidR="00A525FC" w:rsidRPr="003F49A1">
        <w:rPr>
          <w:rFonts w:ascii="Times New Roman" w:hAnsi="Times New Roman" w:cs="Times New Roman"/>
        </w:rPr>
        <w:t xml:space="preserve">método analítico y sistémico, </w:t>
      </w:r>
      <w:r w:rsidR="002F6090" w:rsidRPr="003F49A1">
        <w:rPr>
          <w:rFonts w:ascii="Times New Roman" w:hAnsi="Times New Roman" w:cs="Times New Roman"/>
        </w:rPr>
        <w:t>los cuales</w:t>
      </w:r>
      <w:r w:rsidR="00A525FC" w:rsidRPr="003F49A1">
        <w:rPr>
          <w:rFonts w:ascii="Times New Roman" w:hAnsi="Times New Roman" w:cs="Times New Roman"/>
        </w:rPr>
        <w:t xml:space="preserve"> facilitaron la identificación</w:t>
      </w:r>
      <w:r w:rsidR="00115E32" w:rsidRPr="003F49A1">
        <w:rPr>
          <w:rFonts w:ascii="Times New Roman" w:hAnsi="Times New Roman" w:cs="Times New Roman"/>
        </w:rPr>
        <w:t xml:space="preserve"> de</w:t>
      </w:r>
      <w:r w:rsidR="00175BD3" w:rsidRPr="003F49A1">
        <w:rPr>
          <w:rFonts w:ascii="Times New Roman" w:hAnsi="Times New Roman" w:cs="Times New Roman"/>
        </w:rPr>
        <w:t xml:space="preserve"> las principales fortalezas y debilidades respecto a los factores externos que influye</w:t>
      </w:r>
      <w:r w:rsidR="00425A95" w:rsidRPr="003F49A1">
        <w:rPr>
          <w:rFonts w:ascii="Times New Roman" w:hAnsi="Times New Roman" w:cs="Times New Roman"/>
        </w:rPr>
        <w:t xml:space="preserve">n en la calidad de la educación, </w:t>
      </w:r>
      <w:r w:rsidR="0014193F" w:rsidRPr="003F49A1">
        <w:rPr>
          <w:rFonts w:ascii="Times New Roman" w:hAnsi="Times New Roman" w:cs="Times New Roman"/>
        </w:rPr>
        <w:t>además de su</w:t>
      </w:r>
      <w:r w:rsidR="00115E32" w:rsidRPr="003F49A1">
        <w:rPr>
          <w:rFonts w:ascii="Times New Roman" w:hAnsi="Times New Roman" w:cs="Times New Roman"/>
        </w:rPr>
        <w:t xml:space="preserve"> </w:t>
      </w:r>
      <w:r w:rsidR="0014193F" w:rsidRPr="003F49A1">
        <w:rPr>
          <w:rFonts w:ascii="Times New Roman" w:hAnsi="Times New Roman" w:cs="Times New Roman"/>
        </w:rPr>
        <w:t xml:space="preserve"> interacción con</w:t>
      </w:r>
      <w:r w:rsidR="00C260CD" w:rsidRPr="003F49A1">
        <w:rPr>
          <w:rFonts w:ascii="Times New Roman" w:hAnsi="Times New Roman" w:cs="Times New Roman"/>
        </w:rPr>
        <w:t xml:space="preserve"> los actores que intervienen en la evaluación de los parámetros internacionales</w:t>
      </w:r>
      <w:r w:rsidR="0014193F" w:rsidRPr="003F49A1">
        <w:rPr>
          <w:rFonts w:ascii="Times New Roman" w:hAnsi="Times New Roman" w:cs="Times New Roman"/>
        </w:rPr>
        <w:t xml:space="preserve"> que proporcionan información acerca</w:t>
      </w:r>
      <w:r w:rsidR="00A53D99" w:rsidRPr="003F49A1">
        <w:rPr>
          <w:rFonts w:ascii="Times New Roman" w:hAnsi="Times New Roman" w:cs="Times New Roman"/>
        </w:rPr>
        <w:t xml:space="preserve"> del comportam</w:t>
      </w:r>
      <w:r w:rsidR="00213A8D" w:rsidRPr="003F49A1">
        <w:rPr>
          <w:rFonts w:ascii="Times New Roman" w:hAnsi="Times New Roman" w:cs="Times New Roman"/>
        </w:rPr>
        <w:t>iento de s</w:t>
      </w:r>
      <w:r w:rsidR="002F6090" w:rsidRPr="003F49A1">
        <w:rPr>
          <w:rFonts w:ascii="Times New Roman" w:hAnsi="Times New Roman" w:cs="Times New Roman"/>
        </w:rPr>
        <w:t>us variables en donde se observó que</w:t>
      </w:r>
      <w:r w:rsidR="00213A8D" w:rsidRPr="003F49A1">
        <w:rPr>
          <w:rFonts w:ascii="Times New Roman" w:hAnsi="Times New Roman" w:cs="Times New Roman"/>
        </w:rPr>
        <w:t xml:space="preserve"> </w:t>
      </w:r>
      <w:r w:rsidR="002F6090" w:rsidRPr="003F49A1">
        <w:rPr>
          <w:rFonts w:ascii="Times New Roman" w:hAnsi="Times New Roman" w:cs="Times New Roman"/>
        </w:rPr>
        <w:t xml:space="preserve">el descenso de la competitividad en </w:t>
      </w:r>
      <w:r w:rsidR="00213A8D" w:rsidRPr="003F49A1">
        <w:rPr>
          <w:rFonts w:ascii="Times New Roman" w:hAnsi="Times New Roman" w:cs="Times New Roman"/>
        </w:rPr>
        <w:t>México</w:t>
      </w:r>
      <w:r w:rsidR="002F6090" w:rsidRPr="003F49A1">
        <w:rPr>
          <w:rFonts w:ascii="Times New Roman" w:hAnsi="Times New Roman" w:cs="Times New Roman"/>
        </w:rPr>
        <w:t xml:space="preserve"> en</w:t>
      </w:r>
      <w:r w:rsidR="00B13BFB" w:rsidRPr="003F49A1">
        <w:rPr>
          <w:rFonts w:ascii="Times New Roman" w:hAnsi="Times New Roman" w:cs="Times New Roman"/>
        </w:rPr>
        <w:t xml:space="preserve"> comparación con</w:t>
      </w:r>
      <w:r w:rsidR="002F6090" w:rsidRPr="003F49A1">
        <w:rPr>
          <w:rFonts w:ascii="Times New Roman" w:hAnsi="Times New Roman" w:cs="Times New Roman"/>
        </w:rPr>
        <w:t xml:space="preserve"> los mercados internacionales, se debe a que</w:t>
      </w:r>
      <w:r w:rsidR="00213A8D" w:rsidRPr="003F49A1">
        <w:rPr>
          <w:rFonts w:ascii="Times New Roman" w:hAnsi="Times New Roman" w:cs="Times New Roman"/>
        </w:rPr>
        <w:t xml:space="preserve"> existe baja inversión en ciencia y tecnología</w:t>
      </w:r>
      <w:r w:rsidR="002F6090" w:rsidRPr="003F49A1">
        <w:rPr>
          <w:rFonts w:ascii="Times New Roman" w:hAnsi="Times New Roman" w:cs="Times New Roman"/>
        </w:rPr>
        <w:t>, es decir que hay escasa participación en el re</w:t>
      </w:r>
      <w:r w:rsidR="00803A98" w:rsidRPr="003F49A1">
        <w:rPr>
          <w:rFonts w:ascii="Times New Roman" w:hAnsi="Times New Roman" w:cs="Times New Roman"/>
        </w:rPr>
        <w:t>gistro de patentes, publicación de artículos cientí</w:t>
      </w:r>
      <w:r w:rsidR="002D1C39" w:rsidRPr="003F49A1">
        <w:rPr>
          <w:rFonts w:ascii="Times New Roman" w:hAnsi="Times New Roman" w:cs="Times New Roman"/>
        </w:rPr>
        <w:t xml:space="preserve">ficos y también </w:t>
      </w:r>
      <w:r w:rsidR="00803A98" w:rsidRPr="003F49A1">
        <w:rPr>
          <w:rFonts w:ascii="Times New Roman" w:hAnsi="Times New Roman" w:cs="Times New Roman"/>
        </w:rPr>
        <w:t>un r</w:t>
      </w:r>
      <w:r w:rsidR="00023386" w:rsidRPr="003F49A1">
        <w:rPr>
          <w:rFonts w:ascii="Times New Roman" w:hAnsi="Times New Roman" w:cs="Times New Roman"/>
        </w:rPr>
        <w:t>educido número de personas</w:t>
      </w:r>
      <w:r w:rsidR="00803A98" w:rsidRPr="003F49A1">
        <w:rPr>
          <w:rFonts w:ascii="Times New Roman" w:hAnsi="Times New Roman" w:cs="Times New Roman"/>
        </w:rPr>
        <w:t xml:space="preserve"> incor</w:t>
      </w:r>
      <w:r w:rsidR="00023386" w:rsidRPr="003F49A1">
        <w:rPr>
          <w:rFonts w:ascii="Times New Roman" w:hAnsi="Times New Roman" w:cs="Times New Roman"/>
        </w:rPr>
        <w:t>porada</w:t>
      </w:r>
      <w:r w:rsidR="002D1C39" w:rsidRPr="003F49A1">
        <w:rPr>
          <w:rFonts w:ascii="Times New Roman" w:hAnsi="Times New Roman" w:cs="Times New Roman"/>
        </w:rPr>
        <w:t>s al Sistema Nacional de I</w:t>
      </w:r>
      <w:r w:rsidR="00E36E2B" w:rsidRPr="003F49A1">
        <w:rPr>
          <w:rFonts w:ascii="Times New Roman" w:hAnsi="Times New Roman" w:cs="Times New Roman"/>
        </w:rPr>
        <w:t>nvestigadores (SNI)</w:t>
      </w:r>
      <w:r w:rsidR="00803A98" w:rsidRPr="003F49A1">
        <w:rPr>
          <w:rFonts w:ascii="Times New Roman" w:hAnsi="Times New Roman" w:cs="Times New Roman"/>
        </w:rPr>
        <w:t>.</w:t>
      </w:r>
    </w:p>
    <w:p w14:paraId="142839ED" w14:textId="7955276A" w:rsidR="00CA4BC5" w:rsidRDefault="00C801B5" w:rsidP="008D4F7D">
      <w:pPr>
        <w:jc w:val="both"/>
        <w:rPr>
          <w:rFonts w:ascii="Arial" w:hAnsi="Arial" w:cs="Arial"/>
        </w:rPr>
      </w:pPr>
      <w:r w:rsidRPr="003F49A1">
        <w:rPr>
          <w:rFonts w:ascii="Calibri" w:eastAsia="Cambria" w:hAnsi="Calibri" w:cs="Times New Roman"/>
          <w:b/>
          <w:color w:val="000000"/>
          <w:sz w:val="28"/>
          <w:lang w:val="es-MX"/>
        </w:rPr>
        <w:t>Palabras clave:</w:t>
      </w:r>
      <w:r w:rsidR="005B4655">
        <w:rPr>
          <w:rFonts w:ascii="Arial" w:hAnsi="Arial" w:cs="Arial"/>
        </w:rPr>
        <w:t xml:space="preserve"> </w:t>
      </w:r>
      <w:r w:rsidR="00CA4BC5" w:rsidRPr="003F49A1">
        <w:rPr>
          <w:rFonts w:ascii="Times New Roman" w:hAnsi="Times New Roman" w:cs="Times New Roman"/>
        </w:rPr>
        <w:t>Econo</w:t>
      </w:r>
      <w:r w:rsidR="00F56593" w:rsidRPr="003F49A1">
        <w:rPr>
          <w:rFonts w:ascii="Times New Roman" w:hAnsi="Times New Roman" w:cs="Times New Roman"/>
        </w:rPr>
        <w:t xml:space="preserve">mía, </w:t>
      </w:r>
      <w:r w:rsidR="008D4F7D" w:rsidRPr="003F49A1">
        <w:rPr>
          <w:rFonts w:ascii="Times New Roman" w:hAnsi="Times New Roman" w:cs="Times New Roman"/>
        </w:rPr>
        <w:t xml:space="preserve">conocimiento, </w:t>
      </w:r>
      <w:r w:rsidR="00D60BF6" w:rsidRPr="003F49A1">
        <w:rPr>
          <w:rFonts w:ascii="Times New Roman" w:hAnsi="Times New Roman" w:cs="Times New Roman"/>
        </w:rPr>
        <w:t xml:space="preserve">educación, </w:t>
      </w:r>
      <w:r w:rsidR="00437778" w:rsidRPr="003F49A1">
        <w:rPr>
          <w:rFonts w:ascii="Times New Roman" w:hAnsi="Times New Roman" w:cs="Times New Roman"/>
        </w:rPr>
        <w:t>competitividad</w:t>
      </w:r>
      <w:r w:rsidR="008D4F7D" w:rsidRPr="003F49A1">
        <w:rPr>
          <w:rFonts w:ascii="Times New Roman" w:hAnsi="Times New Roman" w:cs="Times New Roman"/>
        </w:rPr>
        <w:t>, indicadores.</w:t>
      </w:r>
    </w:p>
    <w:p w14:paraId="6CB9C662" w14:textId="77777777" w:rsidR="002A7D05" w:rsidRPr="00D112AE" w:rsidRDefault="002A7D05" w:rsidP="008D4F7D">
      <w:pPr>
        <w:jc w:val="both"/>
        <w:rPr>
          <w:rFonts w:ascii="Arial" w:hAnsi="Arial" w:cs="Arial"/>
        </w:rPr>
      </w:pPr>
    </w:p>
    <w:p w14:paraId="237678C6" w14:textId="2DA8B93D" w:rsidR="00B039EB" w:rsidRDefault="00B039EB" w:rsidP="00C409D9">
      <w:pPr>
        <w:spacing w:line="360" w:lineRule="auto"/>
        <w:jc w:val="both"/>
        <w:rPr>
          <w:rFonts w:ascii="Arial" w:hAnsi="Arial" w:cs="Arial"/>
          <w:b/>
        </w:rPr>
      </w:pPr>
    </w:p>
    <w:p w14:paraId="3CD7273C" w14:textId="37B74F7B" w:rsidR="003F49A1" w:rsidRDefault="003F49A1" w:rsidP="00C409D9">
      <w:pPr>
        <w:spacing w:line="360" w:lineRule="auto"/>
        <w:jc w:val="both"/>
        <w:rPr>
          <w:rFonts w:ascii="Arial" w:hAnsi="Arial" w:cs="Arial"/>
          <w:b/>
        </w:rPr>
      </w:pPr>
    </w:p>
    <w:p w14:paraId="0112931E" w14:textId="58634DAF" w:rsidR="00653CAC" w:rsidRPr="00653CAC" w:rsidRDefault="003F49A1" w:rsidP="00653CAC">
      <w:pPr>
        <w:spacing w:line="360" w:lineRule="auto"/>
        <w:jc w:val="both"/>
        <w:rPr>
          <w:rFonts w:ascii="Arial" w:hAnsi="Arial" w:cs="Arial"/>
          <w:b/>
        </w:rPr>
      </w:pPr>
      <w:r>
        <w:rPr>
          <w:rFonts w:ascii="Calibri" w:eastAsia="Cambria" w:hAnsi="Calibri" w:cs="Times New Roman"/>
          <w:b/>
          <w:color w:val="000000"/>
          <w:sz w:val="28"/>
          <w:lang w:val="es-MX"/>
        </w:rPr>
        <w:lastRenderedPageBreak/>
        <w:t>Abstract</w:t>
      </w:r>
    </w:p>
    <w:p w14:paraId="5D5396F6" w14:textId="22FF8379" w:rsidR="00023E18" w:rsidRPr="00023E18" w:rsidRDefault="00D3658B" w:rsidP="00023E18">
      <w:pPr>
        <w:spacing w:line="360" w:lineRule="auto"/>
        <w:jc w:val="both"/>
        <w:rPr>
          <w:rFonts w:ascii="Arial" w:hAnsi="Arial" w:cs="Arial"/>
        </w:rPr>
      </w:pPr>
      <w:r w:rsidRPr="003F49A1">
        <w:rPr>
          <w:rFonts w:ascii="Times New Roman" w:hAnsi="Times New Roman" w:cs="Times New Roman"/>
        </w:rPr>
        <w:t>The knowledge economy is a subject of great importance at the global level, due to the impact it causes to determine the competitiveness of nations, that is why through this research was obtained as a result the analysis of the main indicators that evaluate the economy of knowledge, as well as the context and components that impact the quality of learning; therefore the analytical and systemic method was implemented, which facilitated the identification of the main strengths and weaknesses regarding the external factors that influence the quality of the education, in addition to its interaction with the actors involved in the evaluation of the parameters which provide information on the behavior of its variables where it was observed that the decline in competitiveness in Mexico compared to international markets is due to the low investment in science and technology, ie there is little participation in the registry of patents, publication of scientific articles and also a small number of people incorporated into the National System of Investigators (SNI).</w:t>
      </w:r>
    </w:p>
    <w:p w14:paraId="1A364781" w14:textId="43B5A38A" w:rsidR="00653CAC" w:rsidRPr="00653CAC" w:rsidRDefault="00023E18" w:rsidP="00023E18">
      <w:pPr>
        <w:spacing w:line="360" w:lineRule="auto"/>
        <w:jc w:val="both"/>
        <w:rPr>
          <w:rFonts w:ascii="Arial" w:hAnsi="Arial" w:cs="Arial"/>
          <w:b/>
        </w:rPr>
      </w:pPr>
      <w:r w:rsidRPr="003F49A1">
        <w:rPr>
          <w:rFonts w:ascii="Calibri" w:eastAsia="Cambria" w:hAnsi="Calibri" w:cs="Times New Roman"/>
          <w:b/>
          <w:color w:val="000000"/>
          <w:sz w:val="28"/>
          <w:lang w:val="es-MX"/>
        </w:rPr>
        <w:t>Key words:</w:t>
      </w:r>
      <w:r w:rsidRPr="00023E18">
        <w:rPr>
          <w:rFonts w:ascii="Arial" w:hAnsi="Arial" w:cs="Arial"/>
        </w:rPr>
        <w:t xml:space="preserve"> </w:t>
      </w:r>
      <w:r w:rsidRPr="003F49A1">
        <w:rPr>
          <w:rFonts w:ascii="Times New Roman" w:hAnsi="Times New Roman" w:cs="Times New Roman"/>
        </w:rPr>
        <w:t>Economics, knowledge, education, competitiveness, indicators.</w:t>
      </w:r>
    </w:p>
    <w:p w14:paraId="7342771D" w14:textId="77777777" w:rsidR="00B039EB" w:rsidRDefault="00B039EB" w:rsidP="00C409D9">
      <w:pPr>
        <w:spacing w:line="360" w:lineRule="auto"/>
        <w:jc w:val="both"/>
        <w:rPr>
          <w:rFonts w:ascii="Arial" w:hAnsi="Arial" w:cs="Arial"/>
          <w:b/>
        </w:rPr>
      </w:pPr>
    </w:p>
    <w:p w14:paraId="6695F4A6" w14:textId="46C04611" w:rsidR="003F49A1" w:rsidRPr="005C1622" w:rsidRDefault="003F49A1" w:rsidP="003F49A1">
      <w:pPr>
        <w:jc w:val="both"/>
        <w:rPr>
          <w:rFonts w:ascii="Times New Roman" w:hAnsi="Times New Roman" w:cs="Times New Roman"/>
        </w:rPr>
      </w:pPr>
      <w:r w:rsidRPr="00B376A8">
        <w:rPr>
          <w:rFonts w:ascii="Times New Roman" w:hAnsi="Times New Roman" w:cs="Times New Roman"/>
          <w:b/>
        </w:rPr>
        <w:t>Fecha Recepción:</w:t>
      </w:r>
      <w:r w:rsidRPr="00B376A8">
        <w:rPr>
          <w:rFonts w:ascii="Times New Roman" w:hAnsi="Times New Roman" w:cs="Times New Roman"/>
        </w:rPr>
        <w:t xml:space="preserve"> </w:t>
      </w:r>
      <w:r>
        <w:rPr>
          <w:rFonts w:ascii="Times New Roman" w:hAnsi="Times New Roman" w:cs="Times New Roman"/>
        </w:rPr>
        <w:t>Enero</w:t>
      </w:r>
      <w:r>
        <w:rPr>
          <w:rFonts w:ascii="Times New Roman" w:hAnsi="Times New Roman" w:cs="Times New Roman"/>
        </w:rPr>
        <w:t xml:space="preserve"> </w:t>
      </w:r>
      <w:r w:rsidRPr="00B376A8">
        <w:rPr>
          <w:rFonts w:ascii="Times New Roman" w:hAnsi="Times New Roman" w:cs="Times New Roman"/>
        </w:rPr>
        <w:t>201</w:t>
      </w:r>
      <w:r>
        <w:rPr>
          <w:rFonts w:ascii="Times New Roman" w:hAnsi="Times New Roman" w:cs="Times New Roman"/>
        </w:rPr>
        <w:t>7</w:t>
      </w:r>
      <w:r w:rsidRPr="00B376A8">
        <w:rPr>
          <w:rFonts w:ascii="Times New Roman" w:hAnsi="Times New Roman" w:cs="Times New Roman"/>
        </w:rPr>
        <w:t xml:space="preserve">     </w:t>
      </w:r>
      <w:r>
        <w:rPr>
          <w:rFonts w:ascii="Times New Roman" w:hAnsi="Times New Roman" w:cs="Times New Roman"/>
        </w:rPr>
        <w:t xml:space="preserve">                                       </w:t>
      </w:r>
      <w:r w:rsidRPr="00B376A8">
        <w:rPr>
          <w:rFonts w:ascii="Times New Roman" w:hAnsi="Times New Roman" w:cs="Times New Roman"/>
          <w:b/>
        </w:rPr>
        <w:t>Fecha Aceptación:</w:t>
      </w:r>
      <w:r w:rsidRPr="00B376A8">
        <w:rPr>
          <w:rFonts w:ascii="Times New Roman" w:hAnsi="Times New Roman" w:cs="Times New Roman"/>
        </w:rPr>
        <w:t xml:space="preserve"> </w:t>
      </w:r>
      <w:r>
        <w:rPr>
          <w:rFonts w:ascii="Times New Roman" w:hAnsi="Times New Roman" w:cs="Times New Roman"/>
        </w:rPr>
        <w:t>Julio</w:t>
      </w:r>
      <w:r w:rsidRPr="00B376A8">
        <w:rPr>
          <w:rFonts w:ascii="Times New Roman" w:hAnsi="Times New Roman" w:cs="Times New Roman"/>
        </w:rPr>
        <w:t xml:space="preserve"> 2017</w:t>
      </w:r>
      <w:r>
        <w:rPr>
          <w:rFonts w:cs="Calibri"/>
        </w:rPr>
        <w:pict w14:anchorId="611E6858">
          <v:rect id="_x0000_i1025" style="width:0;height:1.5pt" o:hralign="center" o:hrstd="t" o:hr="t" fillcolor="#a0a0a0" stroked="f"/>
        </w:pict>
      </w:r>
    </w:p>
    <w:p w14:paraId="57E08F17" w14:textId="77777777" w:rsidR="00B039EB" w:rsidRDefault="00B039EB" w:rsidP="00C409D9">
      <w:pPr>
        <w:spacing w:line="360" w:lineRule="auto"/>
        <w:jc w:val="both"/>
        <w:rPr>
          <w:rFonts w:ascii="Arial" w:hAnsi="Arial" w:cs="Arial"/>
          <w:b/>
        </w:rPr>
      </w:pPr>
    </w:p>
    <w:p w14:paraId="76A1E540" w14:textId="77777777" w:rsidR="006141DD" w:rsidRDefault="006141DD" w:rsidP="007B4008">
      <w:pPr>
        <w:tabs>
          <w:tab w:val="left" w:pos="1450"/>
        </w:tabs>
        <w:spacing w:line="360" w:lineRule="auto"/>
        <w:jc w:val="both"/>
        <w:rPr>
          <w:rFonts w:ascii="Arial" w:hAnsi="Arial" w:cs="Arial"/>
          <w:b/>
        </w:rPr>
      </w:pPr>
    </w:p>
    <w:p w14:paraId="1F846863" w14:textId="7351BEE7" w:rsidR="00C409D9" w:rsidRPr="003F49A1" w:rsidRDefault="003F49A1" w:rsidP="007B4008">
      <w:pPr>
        <w:tabs>
          <w:tab w:val="left" w:pos="1450"/>
        </w:tabs>
        <w:spacing w:line="360" w:lineRule="auto"/>
        <w:jc w:val="both"/>
        <w:rPr>
          <w:rFonts w:ascii="Calibri" w:eastAsia="Cambria" w:hAnsi="Calibri" w:cs="Times New Roman"/>
          <w:b/>
          <w:color w:val="000000"/>
          <w:sz w:val="28"/>
          <w:lang w:val="es-MX"/>
        </w:rPr>
      </w:pPr>
      <w:r>
        <w:rPr>
          <w:rFonts w:ascii="Calibri" w:eastAsia="Cambria" w:hAnsi="Calibri" w:cs="Times New Roman"/>
          <w:b/>
          <w:color w:val="000000"/>
          <w:sz w:val="28"/>
          <w:lang w:val="es-MX"/>
        </w:rPr>
        <w:t>Introducción</w:t>
      </w:r>
    </w:p>
    <w:p w14:paraId="0482C3C9" w14:textId="6C6B4CD6" w:rsidR="007F7DD0" w:rsidRPr="003F49A1" w:rsidRDefault="00C4005C" w:rsidP="00CD4A17">
      <w:pPr>
        <w:spacing w:line="360" w:lineRule="auto"/>
        <w:jc w:val="both"/>
        <w:rPr>
          <w:rFonts w:ascii="Times New Roman" w:hAnsi="Times New Roman" w:cs="Times New Roman"/>
        </w:rPr>
      </w:pPr>
      <w:r w:rsidRPr="003F49A1">
        <w:rPr>
          <w:rFonts w:ascii="Times New Roman" w:hAnsi="Times New Roman" w:cs="Times New Roman"/>
        </w:rPr>
        <w:t>L</w:t>
      </w:r>
      <w:r w:rsidR="00CD4A17" w:rsidRPr="003F49A1">
        <w:rPr>
          <w:rFonts w:ascii="Times New Roman" w:hAnsi="Times New Roman" w:cs="Times New Roman"/>
        </w:rPr>
        <w:t xml:space="preserve">a presente investigación, </w:t>
      </w:r>
      <w:r w:rsidRPr="003F49A1">
        <w:rPr>
          <w:rFonts w:ascii="Times New Roman" w:hAnsi="Times New Roman" w:cs="Times New Roman"/>
        </w:rPr>
        <w:t>muestra</w:t>
      </w:r>
      <w:r w:rsidR="00CD4A17" w:rsidRPr="003F49A1">
        <w:rPr>
          <w:rFonts w:ascii="Times New Roman" w:hAnsi="Times New Roman" w:cs="Times New Roman"/>
        </w:rPr>
        <w:t xml:space="preserve"> el análisis del contexto y dimensiones de la econom</w:t>
      </w:r>
      <w:r w:rsidR="00E87FED" w:rsidRPr="003F49A1">
        <w:rPr>
          <w:rFonts w:ascii="Times New Roman" w:hAnsi="Times New Roman" w:cs="Times New Roman"/>
        </w:rPr>
        <w:t>ía del conocimiento</w:t>
      </w:r>
      <w:r w:rsidR="008E2164" w:rsidRPr="003F49A1">
        <w:rPr>
          <w:rFonts w:ascii="Times New Roman" w:hAnsi="Times New Roman" w:cs="Times New Roman"/>
        </w:rPr>
        <w:t xml:space="preserve"> en el cual se</w:t>
      </w:r>
      <w:r w:rsidR="009823F6" w:rsidRPr="003F49A1">
        <w:rPr>
          <w:rFonts w:ascii="Times New Roman" w:hAnsi="Times New Roman" w:cs="Times New Roman"/>
        </w:rPr>
        <w:t xml:space="preserve"> describen los principales</w:t>
      </w:r>
      <w:r w:rsidR="008E2164" w:rsidRPr="003F49A1">
        <w:rPr>
          <w:rFonts w:ascii="Times New Roman" w:hAnsi="Times New Roman" w:cs="Times New Roman"/>
        </w:rPr>
        <w:t xml:space="preserve"> instrumentos</w:t>
      </w:r>
      <w:r w:rsidR="006723DA" w:rsidRPr="003F49A1">
        <w:rPr>
          <w:rFonts w:ascii="Times New Roman" w:hAnsi="Times New Roman" w:cs="Times New Roman"/>
        </w:rPr>
        <w:t xml:space="preserve"> y metodologías </w:t>
      </w:r>
      <w:r w:rsidR="008E2164" w:rsidRPr="003F49A1">
        <w:rPr>
          <w:rFonts w:ascii="Times New Roman" w:hAnsi="Times New Roman" w:cs="Times New Roman"/>
        </w:rPr>
        <w:t xml:space="preserve">utilizados </w:t>
      </w:r>
      <w:r w:rsidR="007F7DD0" w:rsidRPr="003F49A1">
        <w:rPr>
          <w:rFonts w:ascii="Times New Roman" w:hAnsi="Times New Roman" w:cs="Times New Roman"/>
        </w:rPr>
        <w:t xml:space="preserve">por </w:t>
      </w:r>
      <w:r w:rsidR="004A26EC" w:rsidRPr="003F49A1">
        <w:rPr>
          <w:rFonts w:ascii="Times New Roman" w:hAnsi="Times New Roman" w:cs="Times New Roman"/>
        </w:rPr>
        <w:t>el Banco Mundial, la Red Iberoamericana de Indicadores d</w:t>
      </w:r>
      <w:r w:rsidR="007F7DD0" w:rsidRPr="003F49A1">
        <w:rPr>
          <w:rFonts w:ascii="Times New Roman" w:hAnsi="Times New Roman" w:cs="Times New Roman"/>
        </w:rPr>
        <w:t xml:space="preserve">e Ciencia y Tecnología (RICYT), la Organización para la Cooperación y el Desarrollo Económico (OCDE), </w:t>
      </w:r>
      <w:r w:rsidR="004A26EC" w:rsidRPr="003F49A1">
        <w:rPr>
          <w:rFonts w:ascii="Times New Roman" w:hAnsi="Times New Roman" w:cs="Times New Roman"/>
        </w:rPr>
        <w:t xml:space="preserve">así como </w:t>
      </w:r>
      <w:r w:rsidR="007F7DD0" w:rsidRPr="003F49A1">
        <w:rPr>
          <w:rFonts w:ascii="Times New Roman" w:hAnsi="Times New Roman" w:cs="Times New Roman"/>
        </w:rPr>
        <w:t xml:space="preserve">el Foro Económico Mundial </w:t>
      </w:r>
      <w:r w:rsidR="006723DA" w:rsidRPr="003F49A1">
        <w:rPr>
          <w:rFonts w:ascii="Times New Roman" w:hAnsi="Times New Roman" w:cs="Times New Roman"/>
        </w:rPr>
        <w:t xml:space="preserve"> con</w:t>
      </w:r>
      <w:r w:rsidR="007F7DD0" w:rsidRPr="003F49A1">
        <w:rPr>
          <w:rFonts w:ascii="Times New Roman" w:hAnsi="Times New Roman" w:cs="Times New Roman"/>
        </w:rPr>
        <w:t xml:space="preserve"> el índice </w:t>
      </w:r>
      <w:r w:rsidR="004A26EC" w:rsidRPr="003F49A1">
        <w:rPr>
          <w:rFonts w:ascii="Times New Roman" w:hAnsi="Times New Roman" w:cs="Times New Roman"/>
        </w:rPr>
        <w:t xml:space="preserve">de </w:t>
      </w:r>
      <w:r w:rsidR="008E2164" w:rsidRPr="003F49A1">
        <w:rPr>
          <w:rFonts w:ascii="Times New Roman" w:hAnsi="Times New Roman" w:cs="Times New Roman"/>
        </w:rPr>
        <w:t>competitivida</w:t>
      </w:r>
      <w:r w:rsidR="007F7DD0" w:rsidRPr="003F49A1">
        <w:rPr>
          <w:rFonts w:ascii="Times New Roman" w:hAnsi="Times New Roman" w:cs="Times New Roman"/>
        </w:rPr>
        <w:t>d global</w:t>
      </w:r>
      <w:r w:rsidR="006723DA" w:rsidRPr="003F49A1">
        <w:rPr>
          <w:rFonts w:ascii="Times New Roman" w:hAnsi="Times New Roman" w:cs="Times New Roman"/>
        </w:rPr>
        <w:t>, para evaluar y promover la investigación, el desarrollo, la ciencia y la tecnología de diversos países del mundo.</w:t>
      </w:r>
    </w:p>
    <w:p w14:paraId="35793EB8" w14:textId="6FAF3D87" w:rsidR="006723DA" w:rsidRPr="003F49A1" w:rsidRDefault="006723DA" w:rsidP="00CD4A17">
      <w:pPr>
        <w:spacing w:line="360" w:lineRule="auto"/>
        <w:jc w:val="both"/>
        <w:rPr>
          <w:rFonts w:ascii="Times New Roman" w:hAnsi="Times New Roman" w:cs="Times New Roman"/>
        </w:rPr>
      </w:pPr>
    </w:p>
    <w:p w14:paraId="797F21C2" w14:textId="2BA01A0C" w:rsidR="005640C9" w:rsidRPr="003F49A1" w:rsidRDefault="008750AA" w:rsidP="00B269FD">
      <w:pPr>
        <w:spacing w:line="360" w:lineRule="auto"/>
        <w:jc w:val="both"/>
        <w:rPr>
          <w:rFonts w:ascii="Times New Roman" w:hAnsi="Times New Roman" w:cs="Times New Roman"/>
        </w:rPr>
      </w:pPr>
      <w:r w:rsidRPr="003F49A1">
        <w:rPr>
          <w:rFonts w:ascii="Times New Roman" w:hAnsi="Times New Roman" w:cs="Times New Roman"/>
        </w:rPr>
        <w:lastRenderedPageBreak/>
        <w:t xml:space="preserve">También, </w:t>
      </w:r>
      <w:r w:rsidR="0016285F" w:rsidRPr="003F49A1">
        <w:rPr>
          <w:rFonts w:ascii="Times New Roman" w:hAnsi="Times New Roman" w:cs="Times New Roman"/>
        </w:rPr>
        <w:t>se tiene como referente que</w:t>
      </w:r>
      <w:r w:rsidR="0016285F" w:rsidRPr="003F49A1">
        <w:rPr>
          <w:rFonts w:ascii="Times New Roman" w:hAnsi="Times New Roman" w:cs="Times New Roman"/>
          <w:b/>
        </w:rPr>
        <w:t xml:space="preserve"> </w:t>
      </w:r>
      <w:r w:rsidR="0016285F" w:rsidRPr="003F49A1">
        <w:rPr>
          <w:rFonts w:ascii="Times New Roman" w:hAnsi="Times New Roman" w:cs="Times New Roman"/>
        </w:rPr>
        <w:t>la sociedad del conocimiento a nivel global surge como un medio de acercar la producción del conocimiento científico, la innovación, las sociedades de aprendizaje y la educación para todos (</w:t>
      </w:r>
      <w:r w:rsidR="00A656BE" w:rsidRPr="003F49A1">
        <w:rPr>
          <w:rFonts w:ascii="Times New Roman" w:hAnsi="Times New Roman" w:cs="Times New Roman"/>
        </w:rPr>
        <w:t>OMPI</w:t>
      </w:r>
      <w:r w:rsidR="0016285F" w:rsidRPr="003F49A1">
        <w:rPr>
          <w:rFonts w:ascii="Times New Roman" w:hAnsi="Times New Roman" w:cs="Times New Roman"/>
        </w:rPr>
        <w:t>, 2003), sin embargo con el paso del tiempo, han surgido diversos medios electrónicos y digitales en la sociedad de la información y por ello, el conocimiento es diverso, por lo que se requiere conocer el origen del mismo para asegurar la confiabilidad de la información, además se ha identificado que aún en la sociedad del conocimiento hay una gran brecha debido a que a nivel global existe una gran diversidad de idiomas, lenguas y dialectos es por ello que no todos pueden acceder al conocimiento ni tampoco a las diversas fuentes de información.</w:t>
      </w:r>
    </w:p>
    <w:p w14:paraId="50A0EA8D" w14:textId="77777777" w:rsidR="00D83B84" w:rsidRPr="003F49A1" w:rsidRDefault="00D83B84" w:rsidP="00B269FD">
      <w:pPr>
        <w:spacing w:line="360" w:lineRule="auto"/>
        <w:jc w:val="both"/>
        <w:rPr>
          <w:rFonts w:ascii="Times New Roman" w:hAnsi="Times New Roman" w:cs="Times New Roman"/>
        </w:rPr>
      </w:pPr>
    </w:p>
    <w:p w14:paraId="77A7F045" w14:textId="050EA7EA" w:rsidR="004620F5" w:rsidRPr="003F49A1" w:rsidRDefault="00403B2A" w:rsidP="00B269FD">
      <w:pPr>
        <w:spacing w:line="360" w:lineRule="auto"/>
        <w:jc w:val="both"/>
        <w:rPr>
          <w:rFonts w:ascii="Times New Roman" w:hAnsi="Times New Roman" w:cs="Times New Roman"/>
        </w:rPr>
      </w:pPr>
      <w:r w:rsidRPr="003F49A1">
        <w:rPr>
          <w:rFonts w:ascii="Times New Roman" w:hAnsi="Times New Roman" w:cs="Times New Roman"/>
        </w:rPr>
        <w:t xml:space="preserve">Por otra parte, las aportaciones </w:t>
      </w:r>
      <w:r w:rsidR="00E93092" w:rsidRPr="003F49A1">
        <w:rPr>
          <w:rFonts w:ascii="Times New Roman" w:hAnsi="Times New Roman" w:cs="Times New Roman"/>
        </w:rPr>
        <w:t xml:space="preserve"> </w:t>
      </w:r>
      <w:r w:rsidRPr="003F49A1">
        <w:rPr>
          <w:rFonts w:ascii="Times New Roman" w:hAnsi="Times New Roman" w:cs="Times New Roman"/>
        </w:rPr>
        <w:t>d</w:t>
      </w:r>
      <w:r w:rsidR="00E93092" w:rsidRPr="003F49A1">
        <w:rPr>
          <w:rFonts w:ascii="Times New Roman" w:hAnsi="Times New Roman" w:cs="Times New Roman"/>
        </w:rPr>
        <w:t>el pensamiento de Igarza</w:t>
      </w:r>
      <w:r w:rsidRPr="003F49A1">
        <w:rPr>
          <w:rFonts w:ascii="Times New Roman" w:hAnsi="Times New Roman" w:cs="Times New Roman"/>
        </w:rPr>
        <w:t xml:space="preserve"> (2008)</w:t>
      </w:r>
      <w:r w:rsidR="00E93092" w:rsidRPr="003F49A1">
        <w:rPr>
          <w:rFonts w:ascii="Times New Roman" w:hAnsi="Times New Roman" w:cs="Times New Roman"/>
        </w:rPr>
        <w:t xml:space="preserve">, </w:t>
      </w:r>
      <w:r w:rsidRPr="003F49A1">
        <w:rPr>
          <w:rFonts w:ascii="Times New Roman" w:hAnsi="Times New Roman" w:cs="Times New Roman"/>
        </w:rPr>
        <w:t>son relevan</w:t>
      </w:r>
      <w:r w:rsidR="00A84FD7" w:rsidRPr="003F49A1">
        <w:rPr>
          <w:rFonts w:ascii="Times New Roman" w:hAnsi="Times New Roman" w:cs="Times New Roman"/>
        </w:rPr>
        <w:t xml:space="preserve">tes para destacar </w:t>
      </w:r>
      <w:r w:rsidR="00B43997" w:rsidRPr="003F49A1">
        <w:rPr>
          <w:rFonts w:ascii="Times New Roman" w:hAnsi="Times New Roman" w:cs="Times New Roman"/>
        </w:rPr>
        <w:t>que los constantes cambios derivados de la globalización, afectan el desarrollo económico por la diversidad de medios por los que se accede al conocimiento.</w:t>
      </w:r>
    </w:p>
    <w:p w14:paraId="6B33671D" w14:textId="77777777" w:rsidR="00F025A6" w:rsidRPr="003F49A1" w:rsidRDefault="00F025A6" w:rsidP="00F025A6">
      <w:pPr>
        <w:tabs>
          <w:tab w:val="left" w:pos="1560"/>
        </w:tabs>
        <w:spacing w:line="360" w:lineRule="auto"/>
        <w:jc w:val="both"/>
        <w:rPr>
          <w:rFonts w:ascii="Times New Roman" w:hAnsi="Times New Roman" w:cs="Times New Roman"/>
        </w:rPr>
      </w:pPr>
    </w:p>
    <w:p w14:paraId="5A13630E" w14:textId="2AB8ECA4" w:rsidR="00F025A6" w:rsidRPr="00D32365" w:rsidRDefault="00835B2A" w:rsidP="00F025A6">
      <w:pPr>
        <w:tabs>
          <w:tab w:val="left" w:pos="1560"/>
        </w:tabs>
        <w:spacing w:line="360" w:lineRule="auto"/>
        <w:jc w:val="both"/>
        <w:rPr>
          <w:rFonts w:ascii="Arial" w:hAnsi="Arial" w:cs="Arial"/>
          <w:kern w:val="12"/>
        </w:rPr>
      </w:pPr>
      <w:r w:rsidRPr="003F49A1">
        <w:rPr>
          <w:rFonts w:ascii="Times New Roman" w:hAnsi="Times New Roman" w:cs="Times New Roman"/>
          <w:kern w:val="12"/>
        </w:rPr>
        <w:t>Así también en la investigación se formula que la</w:t>
      </w:r>
      <w:r w:rsidR="00F025A6" w:rsidRPr="003F49A1">
        <w:rPr>
          <w:rFonts w:ascii="Times New Roman" w:hAnsi="Times New Roman" w:cs="Times New Roman"/>
          <w:kern w:val="12"/>
        </w:rPr>
        <w:t xml:space="preserve"> economía del conocimiento es incipiente en México porqu</w:t>
      </w:r>
      <w:r w:rsidR="00246C07" w:rsidRPr="003F49A1">
        <w:rPr>
          <w:rFonts w:ascii="Times New Roman" w:hAnsi="Times New Roman" w:cs="Times New Roman"/>
          <w:kern w:val="12"/>
        </w:rPr>
        <w:t>e las políticas que transforman</w:t>
      </w:r>
      <w:r w:rsidRPr="003F49A1">
        <w:rPr>
          <w:rFonts w:ascii="Times New Roman" w:hAnsi="Times New Roman" w:cs="Times New Roman"/>
          <w:kern w:val="12"/>
        </w:rPr>
        <w:t xml:space="preserve"> </w:t>
      </w:r>
      <w:r w:rsidR="00F025A6" w:rsidRPr="003F49A1">
        <w:rPr>
          <w:rFonts w:ascii="Times New Roman" w:hAnsi="Times New Roman" w:cs="Times New Roman"/>
          <w:kern w:val="12"/>
        </w:rPr>
        <w:t>la calidad</w:t>
      </w:r>
      <w:r w:rsidR="00246C07" w:rsidRPr="003F49A1">
        <w:rPr>
          <w:rFonts w:ascii="Times New Roman" w:hAnsi="Times New Roman" w:cs="Times New Roman"/>
          <w:kern w:val="12"/>
        </w:rPr>
        <w:t xml:space="preserve"> de la educación</w:t>
      </w:r>
      <w:r w:rsidR="00F025A6" w:rsidRPr="003F49A1">
        <w:rPr>
          <w:rFonts w:ascii="Times New Roman" w:hAnsi="Times New Roman" w:cs="Times New Roman"/>
          <w:kern w:val="12"/>
        </w:rPr>
        <w:t xml:space="preserve">, requieren de </w:t>
      </w:r>
      <w:r w:rsidRPr="003F49A1">
        <w:rPr>
          <w:rFonts w:ascii="Times New Roman" w:hAnsi="Times New Roman" w:cs="Times New Roman"/>
          <w:kern w:val="12"/>
        </w:rPr>
        <w:t xml:space="preserve">tiempo durante </w:t>
      </w:r>
      <w:r w:rsidR="00F025A6" w:rsidRPr="003F49A1">
        <w:rPr>
          <w:rFonts w:ascii="Times New Roman" w:hAnsi="Times New Roman" w:cs="Times New Roman"/>
          <w:kern w:val="12"/>
        </w:rPr>
        <w:t>su implementación para obtener como resultado lograr la eficiencia del sistema educativo y así disponer de personas competentes que generen conocimiento para impulsar la ciencia y tecnología en un mediano plazo</w:t>
      </w:r>
      <w:r w:rsidRPr="003F49A1">
        <w:rPr>
          <w:rFonts w:ascii="Times New Roman" w:hAnsi="Times New Roman" w:cs="Times New Roman"/>
          <w:kern w:val="12"/>
        </w:rPr>
        <w:t>, además de que es indispensable incrementar l</w:t>
      </w:r>
      <w:r w:rsidR="00900972" w:rsidRPr="003F49A1">
        <w:rPr>
          <w:rFonts w:ascii="Times New Roman" w:hAnsi="Times New Roman" w:cs="Times New Roman"/>
          <w:kern w:val="12"/>
        </w:rPr>
        <w:t>a inversión en Investigación y Desarrollo T</w:t>
      </w:r>
      <w:r w:rsidRPr="003F49A1">
        <w:rPr>
          <w:rFonts w:ascii="Times New Roman" w:hAnsi="Times New Roman" w:cs="Times New Roman"/>
          <w:kern w:val="12"/>
        </w:rPr>
        <w:t>ecnológico</w:t>
      </w:r>
      <w:r w:rsidR="00F025A6" w:rsidRPr="003F49A1">
        <w:rPr>
          <w:rFonts w:ascii="Times New Roman" w:hAnsi="Times New Roman" w:cs="Times New Roman"/>
          <w:kern w:val="12"/>
        </w:rPr>
        <w:t>.</w:t>
      </w:r>
    </w:p>
    <w:p w14:paraId="60E1EA6D" w14:textId="77777777" w:rsidR="00F025A6" w:rsidRPr="00C8371C" w:rsidRDefault="00F025A6" w:rsidP="00B269FD">
      <w:pPr>
        <w:spacing w:line="360" w:lineRule="auto"/>
        <w:jc w:val="both"/>
        <w:rPr>
          <w:rFonts w:ascii="Arial" w:hAnsi="Arial"/>
        </w:rPr>
      </w:pPr>
    </w:p>
    <w:p w14:paraId="1D3EFC5A" w14:textId="5E816311" w:rsidR="005640C9" w:rsidRPr="003F49A1" w:rsidRDefault="00BB2435" w:rsidP="00B269FD">
      <w:pPr>
        <w:spacing w:line="360" w:lineRule="auto"/>
        <w:jc w:val="both"/>
        <w:rPr>
          <w:rFonts w:asciiTheme="majorHAnsi" w:hAnsiTheme="majorHAnsi" w:cs="Arial"/>
          <w:b/>
          <w:kern w:val="12"/>
        </w:rPr>
      </w:pPr>
      <w:r w:rsidRPr="003F49A1">
        <w:rPr>
          <w:rFonts w:asciiTheme="majorHAnsi" w:hAnsiTheme="majorHAnsi" w:cs="Arial"/>
          <w:b/>
          <w:kern w:val="12"/>
          <w:sz w:val="28"/>
        </w:rPr>
        <w:t>Contexto</w:t>
      </w:r>
    </w:p>
    <w:p w14:paraId="53024FC0" w14:textId="4DDA1EDD" w:rsidR="00305929" w:rsidRPr="003F49A1" w:rsidRDefault="006D1CD8" w:rsidP="00067A3E">
      <w:pPr>
        <w:spacing w:line="360" w:lineRule="auto"/>
        <w:jc w:val="both"/>
        <w:rPr>
          <w:rFonts w:ascii="Times New Roman" w:hAnsi="Times New Roman" w:cs="Times New Roman"/>
        </w:rPr>
      </w:pPr>
      <w:r w:rsidRPr="003F49A1">
        <w:rPr>
          <w:rFonts w:ascii="Times New Roman" w:hAnsi="Times New Roman" w:cs="Times New Roman"/>
        </w:rPr>
        <w:t>Las constantes trasformaciones</w:t>
      </w:r>
      <w:r w:rsidR="00F61B67" w:rsidRPr="003F49A1">
        <w:rPr>
          <w:rFonts w:ascii="Times New Roman" w:hAnsi="Times New Roman" w:cs="Times New Roman"/>
        </w:rPr>
        <w:t xml:space="preserve"> </w:t>
      </w:r>
      <w:r w:rsidRPr="003F49A1">
        <w:rPr>
          <w:rFonts w:ascii="Times New Roman" w:hAnsi="Times New Roman" w:cs="Times New Roman"/>
        </w:rPr>
        <w:t>d</w:t>
      </w:r>
      <w:r w:rsidR="000D3018" w:rsidRPr="003F49A1">
        <w:rPr>
          <w:rFonts w:ascii="Times New Roman" w:hAnsi="Times New Roman" w:cs="Times New Roman"/>
        </w:rPr>
        <w:t>el mundo globaliza</w:t>
      </w:r>
      <w:r w:rsidR="00F61B67" w:rsidRPr="003F49A1">
        <w:rPr>
          <w:rFonts w:ascii="Times New Roman" w:hAnsi="Times New Roman" w:cs="Times New Roman"/>
        </w:rPr>
        <w:t>do en el que vivimos,</w:t>
      </w:r>
      <w:r w:rsidR="00893101" w:rsidRPr="003F49A1">
        <w:rPr>
          <w:rFonts w:ascii="Times New Roman" w:hAnsi="Times New Roman" w:cs="Times New Roman"/>
        </w:rPr>
        <w:t xml:space="preserve"> </w:t>
      </w:r>
      <w:r w:rsidRPr="003F49A1">
        <w:rPr>
          <w:rFonts w:ascii="Times New Roman" w:hAnsi="Times New Roman" w:cs="Times New Roman"/>
        </w:rPr>
        <w:t>han gen</w:t>
      </w:r>
      <w:r w:rsidR="00634161" w:rsidRPr="003F49A1">
        <w:rPr>
          <w:rFonts w:ascii="Times New Roman" w:hAnsi="Times New Roman" w:cs="Times New Roman"/>
        </w:rPr>
        <w:t xml:space="preserve">erado múltiples </w:t>
      </w:r>
      <w:r w:rsidRPr="003F49A1">
        <w:rPr>
          <w:rFonts w:ascii="Times New Roman" w:hAnsi="Times New Roman" w:cs="Times New Roman"/>
        </w:rPr>
        <w:t xml:space="preserve"> </w:t>
      </w:r>
      <w:r w:rsidR="00634161" w:rsidRPr="003F49A1">
        <w:rPr>
          <w:rFonts w:ascii="Times New Roman" w:hAnsi="Times New Roman" w:cs="Times New Roman"/>
        </w:rPr>
        <w:t xml:space="preserve">variaciones </w:t>
      </w:r>
      <w:r w:rsidRPr="003F49A1">
        <w:rPr>
          <w:rFonts w:ascii="Times New Roman" w:hAnsi="Times New Roman" w:cs="Times New Roman"/>
        </w:rPr>
        <w:t xml:space="preserve">en la </w:t>
      </w:r>
      <w:r w:rsidR="000D3018" w:rsidRPr="003F49A1">
        <w:rPr>
          <w:rFonts w:ascii="Times New Roman" w:hAnsi="Times New Roman" w:cs="Times New Roman"/>
        </w:rPr>
        <w:t>economía del conocimiento</w:t>
      </w:r>
      <w:r w:rsidR="001C5F2E" w:rsidRPr="003F49A1">
        <w:rPr>
          <w:rFonts w:ascii="Times New Roman" w:hAnsi="Times New Roman" w:cs="Times New Roman"/>
        </w:rPr>
        <w:t xml:space="preserve">, </w:t>
      </w:r>
      <w:r w:rsidR="00D8723F" w:rsidRPr="003F49A1">
        <w:rPr>
          <w:rFonts w:ascii="Times New Roman" w:hAnsi="Times New Roman" w:cs="Times New Roman"/>
        </w:rPr>
        <w:t xml:space="preserve">principalmente en </w:t>
      </w:r>
      <w:r w:rsidR="006B681B" w:rsidRPr="003F49A1">
        <w:rPr>
          <w:rFonts w:ascii="Times New Roman" w:hAnsi="Times New Roman" w:cs="Times New Roman"/>
        </w:rPr>
        <w:t>sus</w:t>
      </w:r>
      <w:r w:rsidR="00893101" w:rsidRPr="003F49A1">
        <w:rPr>
          <w:rFonts w:ascii="Times New Roman" w:hAnsi="Times New Roman" w:cs="Times New Roman"/>
        </w:rPr>
        <w:t xml:space="preserve"> </w:t>
      </w:r>
      <w:r w:rsidR="000D3018" w:rsidRPr="003F49A1">
        <w:rPr>
          <w:rFonts w:ascii="Times New Roman" w:hAnsi="Times New Roman" w:cs="Times New Roman"/>
        </w:rPr>
        <w:t xml:space="preserve">dos </w:t>
      </w:r>
      <w:r w:rsidR="00893101" w:rsidRPr="003F49A1">
        <w:rPr>
          <w:rFonts w:ascii="Times New Roman" w:hAnsi="Times New Roman" w:cs="Times New Roman"/>
        </w:rPr>
        <w:t xml:space="preserve">grandes </w:t>
      </w:r>
      <w:r w:rsidR="000D3018" w:rsidRPr="003F49A1">
        <w:rPr>
          <w:rFonts w:ascii="Times New Roman" w:hAnsi="Times New Roman" w:cs="Times New Roman"/>
        </w:rPr>
        <w:t>dimensio</w:t>
      </w:r>
      <w:r w:rsidR="004C5758" w:rsidRPr="003F49A1">
        <w:rPr>
          <w:rFonts w:ascii="Times New Roman" w:hAnsi="Times New Roman" w:cs="Times New Roman"/>
        </w:rPr>
        <w:t>nes:</w:t>
      </w:r>
      <w:r w:rsidR="00622967" w:rsidRPr="003F49A1">
        <w:rPr>
          <w:rFonts w:ascii="Times New Roman" w:hAnsi="Times New Roman" w:cs="Times New Roman"/>
        </w:rPr>
        <w:t xml:space="preserve"> La primera es</w:t>
      </w:r>
      <w:r w:rsidR="00893101" w:rsidRPr="003F49A1">
        <w:rPr>
          <w:rFonts w:ascii="Times New Roman" w:hAnsi="Times New Roman" w:cs="Times New Roman"/>
        </w:rPr>
        <w:t xml:space="preserve"> </w:t>
      </w:r>
      <w:r w:rsidR="0000058F" w:rsidRPr="003F49A1">
        <w:rPr>
          <w:rFonts w:ascii="Times New Roman" w:hAnsi="Times New Roman" w:cs="Times New Roman"/>
        </w:rPr>
        <w:t xml:space="preserve"> la </w:t>
      </w:r>
      <w:r w:rsidR="004176EE" w:rsidRPr="003F49A1">
        <w:rPr>
          <w:rFonts w:ascii="Times New Roman" w:hAnsi="Times New Roman" w:cs="Times New Roman"/>
        </w:rPr>
        <w:t xml:space="preserve">forma </w:t>
      </w:r>
      <w:r w:rsidR="006E3CA5" w:rsidRPr="003F49A1">
        <w:rPr>
          <w:rFonts w:ascii="Times New Roman" w:hAnsi="Times New Roman" w:cs="Times New Roman"/>
        </w:rPr>
        <w:t>en que se mide</w:t>
      </w:r>
      <w:r w:rsidR="004176EE" w:rsidRPr="003F49A1">
        <w:rPr>
          <w:rFonts w:ascii="Times New Roman" w:hAnsi="Times New Roman" w:cs="Times New Roman"/>
        </w:rPr>
        <w:t xml:space="preserve"> </w:t>
      </w:r>
      <w:r w:rsidR="00893101" w:rsidRPr="003F49A1">
        <w:rPr>
          <w:rFonts w:ascii="Times New Roman" w:hAnsi="Times New Roman" w:cs="Times New Roman"/>
        </w:rPr>
        <w:t>l</w:t>
      </w:r>
      <w:r w:rsidR="001A0304" w:rsidRPr="003F49A1">
        <w:rPr>
          <w:rFonts w:ascii="Times New Roman" w:hAnsi="Times New Roman" w:cs="Times New Roman"/>
        </w:rPr>
        <w:t>a ciencia</w:t>
      </w:r>
      <w:r w:rsidR="00EA633A" w:rsidRPr="003F49A1">
        <w:rPr>
          <w:rFonts w:ascii="Times New Roman" w:hAnsi="Times New Roman" w:cs="Times New Roman"/>
        </w:rPr>
        <w:t>, la</w:t>
      </w:r>
      <w:r w:rsidR="004C5758" w:rsidRPr="003F49A1">
        <w:rPr>
          <w:rFonts w:ascii="Times New Roman" w:hAnsi="Times New Roman" w:cs="Times New Roman"/>
        </w:rPr>
        <w:t xml:space="preserve"> innovación y el desarrollo tecnológico</w:t>
      </w:r>
      <w:r w:rsidRPr="003F49A1">
        <w:rPr>
          <w:rFonts w:ascii="Times New Roman" w:hAnsi="Times New Roman" w:cs="Times New Roman"/>
        </w:rPr>
        <w:t xml:space="preserve"> y</w:t>
      </w:r>
      <w:r w:rsidR="006E3CA5" w:rsidRPr="003F49A1">
        <w:rPr>
          <w:rFonts w:ascii="Times New Roman" w:hAnsi="Times New Roman" w:cs="Times New Roman"/>
        </w:rPr>
        <w:t xml:space="preserve"> la segunda está dirigida </w:t>
      </w:r>
      <w:r w:rsidRPr="003F49A1">
        <w:rPr>
          <w:rFonts w:ascii="Times New Roman" w:hAnsi="Times New Roman" w:cs="Times New Roman"/>
        </w:rPr>
        <w:t>a</w:t>
      </w:r>
      <w:r w:rsidR="00823BD8" w:rsidRPr="003F49A1">
        <w:rPr>
          <w:rFonts w:ascii="Times New Roman" w:hAnsi="Times New Roman" w:cs="Times New Roman"/>
        </w:rPr>
        <w:t xml:space="preserve">l sistema educativo </w:t>
      </w:r>
      <w:r w:rsidR="00305929" w:rsidRPr="003F49A1">
        <w:rPr>
          <w:rFonts w:ascii="Times New Roman" w:hAnsi="Times New Roman" w:cs="Times New Roman"/>
        </w:rPr>
        <w:t>por</w:t>
      </w:r>
      <w:r w:rsidR="00EA633A" w:rsidRPr="003F49A1">
        <w:rPr>
          <w:rFonts w:ascii="Times New Roman" w:hAnsi="Times New Roman" w:cs="Times New Roman"/>
        </w:rPr>
        <w:t xml:space="preserve"> </w:t>
      </w:r>
      <w:r w:rsidR="006E3CA5" w:rsidRPr="003F49A1">
        <w:rPr>
          <w:rFonts w:ascii="Times New Roman" w:hAnsi="Times New Roman" w:cs="Times New Roman"/>
        </w:rPr>
        <w:t>el impacto que tiene</w:t>
      </w:r>
      <w:r w:rsidR="00EA633A" w:rsidRPr="003F49A1">
        <w:rPr>
          <w:rFonts w:ascii="Times New Roman" w:hAnsi="Times New Roman" w:cs="Times New Roman"/>
        </w:rPr>
        <w:t xml:space="preserve"> </w:t>
      </w:r>
      <w:r w:rsidR="00823BD8" w:rsidRPr="003F49A1">
        <w:rPr>
          <w:rFonts w:ascii="Times New Roman" w:hAnsi="Times New Roman" w:cs="Times New Roman"/>
        </w:rPr>
        <w:t xml:space="preserve">en </w:t>
      </w:r>
      <w:r w:rsidR="004C5758" w:rsidRPr="003F49A1">
        <w:rPr>
          <w:rFonts w:ascii="Times New Roman" w:hAnsi="Times New Roman" w:cs="Times New Roman"/>
        </w:rPr>
        <w:t>las ciencias cognitivas</w:t>
      </w:r>
      <w:r w:rsidR="006E3CA5" w:rsidRPr="003F49A1">
        <w:rPr>
          <w:rFonts w:ascii="Times New Roman" w:hAnsi="Times New Roman" w:cs="Times New Roman"/>
        </w:rPr>
        <w:t>, por ser uno de los factores que influyen</w:t>
      </w:r>
      <w:r w:rsidR="00EB03B8" w:rsidRPr="003F49A1">
        <w:rPr>
          <w:rFonts w:ascii="Times New Roman" w:hAnsi="Times New Roman" w:cs="Times New Roman"/>
        </w:rPr>
        <w:t xml:space="preserve"> en</w:t>
      </w:r>
      <w:r w:rsidR="00EA633A" w:rsidRPr="003F49A1">
        <w:rPr>
          <w:rFonts w:ascii="Times New Roman" w:hAnsi="Times New Roman" w:cs="Times New Roman"/>
        </w:rPr>
        <w:t xml:space="preserve"> </w:t>
      </w:r>
      <w:r w:rsidR="00823BD8" w:rsidRPr="003F49A1">
        <w:rPr>
          <w:rFonts w:ascii="Times New Roman" w:hAnsi="Times New Roman" w:cs="Times New Roman"/>
        </w:rPr>
        <w:t>la</w:t>
      </w:r>
      <w:r w:rsidR="004176EE" w:rsidRPr="003F49A1">
        <w:rPr>
          <w:rFonts w:ascii="Times New Roman" w:hAnsi="Times New Roman" w:cs="Times New Roman"/>
        </w:rPr>
        <w:t xml:space="preserve"> calidad e</w:t>
      </w:r>
      <w:r w:rsidR="00823BD8" w:rsidRPr="003F49A1">
        <w:rPr>
          <w:rFonts w:ascii="Times New Roman" w:hAnsi="Times New Roman" w:cs="Times New Roman"/>
        </w:rPr>
        <w:t xml:space="preserve"> innovación </w:t>
      </w:r>
      <w:r w:rsidR="00634161" w:rsidRPr="003F49A1">
        <w:rPr>
          <w:rFonts w:ascii="Times New Roman" w:hAnsi="Times New Roman" w:cs="Times New Roman"/>
        </w:rPr>
        <w:t>de la educación,</w:t>
      </w:r>
      <w:r w:rsidR="006E3CA5" w:rsidRPr="003F49A1">
        <w:rPr>
          <w:rFonts w:ascii="Times New Roman" w:hAnsi="Times New Roman" w:cs="Times New Roman"/>
        </w:rPr>
        <w:t xml:space="preserve"> ya que se encargan de</w:t>
      </w:r>
      <w:r w:rsidR="00823BD8" w:rsidRPr="003F49A1">
        <w:rPr>
          <w:rFonts w:ascii="Times New Roman" w:hAnsi="Times New Roman" w:cs="Times New Roman"/>
        </w:rPr>
        <w:t xml:space="preserve"> </w:t>
      </w:r>
      <w:r w:rsidR="00EA633A" w:rsidRPr="003F49A1">
        <w:rPr>
          <w:rFonts w:ascii="Times New Roman" w:hAnsi="Times New Roman" w:cs="Times New Roman"/>
        </w:rPr>
        <w:t>promover</w:t>
      </w:r>
      <w:r w:rsidR="00893101" w:rsidRPr="003F49A1">
        <w:rPr>
          <w:rFonts w:ascii="Times New Roman" w:hAnsi="Times New Roman" w:cs="Times New Roman"/>
        </w:rPr>
        <w:t xml:space="preserve"> el desarrollo</w:t>
      </w:r>
      <w:r w:rsidR="006E3CA5" w:rsidRPr="003F49A1">
        <w:rPr>
          <w:rFonts w:ascii="Times New Roman" w:hAnsi="Times New Roman" w:cs="Times New Roman"/>
        </w:rPr>
        <w:t xml:space="preserve"> de comunidades de conocimiento</w:t>
      </w:r>
      <w:r w:rsidR="00B91796" w:rsidRPr="003F49A1">
        <w:rPr>
          <w:rFonts w:ascii="Times New Roman" w:hAnsi="Times New Roman" w:cs="Times New Roman"/>
        </w:rPr>
        <w:t xml:space="preserve"> que</w:t>
      </w:r>
      <w:r w:rsidR="006B681B" w:rsidRPr="003F49A1">
        <w:rPr>
          <w:rFonts w:ascii="Times New Roman" w:hAnsi="Times New Roman" w:cs="Times New Roman"/>
        </w:rPr>
        <w:t xml:space="preserve"> </w:t>
      </w:r>
      <w:r w:rsidR="00B91796" w:rsidRPr="003F49A1">
        <w:rPr>
          <w:rFonts w:ascii="Times New Roman" w:hAnsi="Times New Roman" w:cs="Times New Roman"/>
        </w:rPr>
        <w:t xml:space="preserve">favorecen </w:t>
      </w:r>
      <w:r w:rsidR="00EA633A" w:rsidRPr="003F49A1">
        <w:rPr>
          <w:rFonts w:ascii="Times New Roman" w:hAnsi="Times New Roman" w:cs="Times New Roman"/>
        </w:rPr>
        <w:t xml:space="preserve">directamente </w:t>
      </w:r>
      <w:r w:rsidR="00893101" w:rsidRPr="003F49A1">
        <w:rPr>
          <w:rFonts w:ascii="Times New Roman" w:hAnsi="Times New Roman" w:cs="Times New Roman"/>
        </w:rPr>
        <w:t xml:space="preserve"> </w:t>
      </w:r>
      <w:r w:rsidR="00EA633A" w:rsidRPr="003F49A1">
        <w:rPr>
          <w:rFonts w:ascii="Times New Roman" w:hAnsi="Times New Roman" w:cs="Times New Roman"/>
        </w:rPr>
        <w:t>al sector productivo, convirtiéndose</w:t>
      </w:r>
      <w:r w:rsidR="00893101" w:rsidRPr="003F49A1">
        <w:rPr>
          <w:rFonts w:ascii="Times New Roman" w:hAnsi="Times New Roman" w:cs="Times New Roman"/>
        </w:rPr>
        <w:t xml:space="preserve"> en pieza clave para impulsar la</w:t>
      </w:r>
      <w:r w:rsidR="00823BD8" w:rsidRPr="003F49A1">
        <w:rPr>
          <w:rFonts w:ascii="Times New Roman" w:hAnsi="Times New Roman" w:cs="Times New Roman"/>
        </w:rPr>
        <w:t xml:space="preserve"> c</w:t>
      </w:r>
      <w:r w:rsidR="00F746A1" w:rsidRPr="003F49A1">
        <w:rPr>
          <w:rFonts w:ascii="Times New Roman" w:hAnsi="Times New Roman" w:cs="Times New Roman"/>
        </w:rPr>
        <w:t>o</w:t>
      </w:r>
      <w:r w:rsidR="00067A3E" w:rsidRPr="003F49A1">
        <w:rPr>
          <w:rFonts w:ascii="Times New Roman" w:hAnsi="Times New Roman" w:cs="Times New Roman"/>
        </w:rPr>
        <w:t xml:space="preserve">mpetitividad de las naciones. Sin </w:t>
      </w:r>
      <w:r w:rsidR="00067A3E" w:rsidRPr="003F49A1">
        <w:rPr>
          <w:rFonts w:ascii="Times New Roman" w:hAnsi="Times New Roman" w:cs="Times New Roman"/>
        </w:rPr>
        <w:lastRenderedPageBreak/>
        <w:t>embargo se tiene como referente que en México, el Sistema Educativo, enfrenta diversas problemáticas que han generado rezagos con impactos directamente en la compet</w:t>
      </w:r>
      <w:r w:rsidR="00D16FB8" w:rsidRPr="003F49A1">
        <w:rPr>
          <w:rFonts w:ascii="Times New Roman" w:hAnsi="Times New Roman" w:cs="Times New Roman"/>
        </w:rPr>
        <w:t>itividad del sector productivo</w:t>
      </w:r>
      <w:r w:rsidR="00067A3E" w:rsidRPr="003F49A1">
        <w:rPr>
          <w:rFonts w:ascii="Times New Roman" w:hAnsi="Times New Roman" w:cs="Times New Roman"/>
        </w:rPr>
        <w:t>, tal es el caso de la ciencia y tecnología, en donde únicamente el 7.6% de las patentes gestionadas a nivel global son de mexicanos, en consecuencia nos encontramos en el lugar 72 de 145 países del índice de la economía del conocimiento d</w:t>
      </w:r>
      <w:r w:rsidR="000D5E86" w:rsidRPr="003F49A1">
        <w:rPr>
          <w:rFonts w:ascii="Times New Roman" w:hAnsi="Times New Roman" w:cs="Times New Roman"/>
        </w:rPr>
        <w:t>el Banco Mundial (KE-BM,2012</w:t>
      </w:r>
      <w:r w:rsidR="00067A3E" w:rsidRPr="003F49A1">
        <w:rPr>
          <w:rFonts w:ascii="Times New Roman" w:hAnsi="Times New Roman" w:cs="Times New Roman"/>
        </w:rPr>
        <w:t xml:space="preserve">), es importante destacar que en la economía del conocimiento la interacción con las empresas y hogares son el eje del proceso de generación </w:t>
      </w:r>
      <w:r w:rsidR="00B03734" w:rsidRPr="003F49A1">
        <w:rPr>
          <w:rFonts w:ascii="Times New Roman" w:hAnsi="Times New Roman" w:cs="Times New Roman"/>
        </w:rPr>
        <w:t xml:space="preserve">y diseminación del conocimiento. </w:t>
      </w:r>
    </w:p>
    <w:p w14:paraId="7C80142D" w14:textId="77777777" w:rsidR="00305929" w:rsidRPr="003F49A1" w:rsidRDefault="00305929" w:rsidP="00067A3E">
      <w:pPr>
        <w:spacing w:line="360" w:lineRule="auto"/>
        <w:jc w:val="both"/>
        <w:rPr>
          <w:rFonts w:ascii="Times New Roman" w:hAnsi="Times New Roman" w:cs="Times New Roman"/>
        </w:rPr>
      </w:pPr>
    </w:p>
    <w:p w14:paraId="2FEF3EE3" w14:textId="77777777" w:rsidR="00E120A9" w:rsidRPr="003F49A1" w:rsidRDefault="00E120A9" w:rsidP="00067A3E">
      <w:pPr>
        <w:spacing w:line="360" w:lineRule="auto"/>
        <w:jc w:val="both"/>
        <w:rPr>
          <w:rFonts w:ascii="Times New Roman" w:hAnsi="Times New Roman" w:cs="Times New Roman"/>
        </w:rPr>
      </w:pPr>
      <w:r w:rsidRPr="003F49A1">
        <w:rPr>
          <w:rFonts w:ascii="Times New Roman" w:hAnsi="Times New Roman" w:cs="Times New Roman"/>
        </w:rPr>
        <w:t>E</w:t>
      </w:r>
      <w:r w:rsidR="00305929" w:rsidRPr="003F49A1">
        <w:rPr>
          <w:rFonts w:ascii="Times New Roman" w:hAnsi="Times New Roman" w:cs="Times New Roman"/>
        </w:rPr>
        <w:t xml:space="preserve">l desarrollo de la investigación </w:t>
      </w:r>
      <w:r w:rsidRPr="003F49A1">
        <w:rPr>
          <w:rFonts w:ascii="Times New Roman" w:hAnsi="Times New Roman" w:cs="Times New Roman"/>
        </w:rPr>
        <w:t>se realizó en cuatro etapas.</w:t>
      </w:r>
    </w:p>
    <w:p w14:paraId="746EE47D" w14:textId="77777777" w:rsidR="00E120A9" w:rsidRPr="003F49A1" w:rsidRDefault="00E120A9" w:rsidP="00067A3E">
      <w:pPr>
        <w:spacing w:line="360" w:lineRule="auto"/>
        <w:jc w:val="both"/>
        <w:rPr>
          <w:rFonts w:ascii="Times New Roman" w:hAnsi="Times New Roman" w:cs="Times New Roman"/>
        </w:rPr>
      </w:pPr>
    </w:p>
    <w:p w14:paraId="4AD68A99" w14:textId="4BEA3CD1" w:rsidR="00D552CD" w:rsidRPr="003F49A1" w:rsidRDefault="00E120A9" w:rsidP="00067A3E">
      <w:pPr>
        <w:spacing w:line="360" w:lineRule="auto"/>
        <w:jc w:val="both"/>
        <w:rPr>
          <w:rFonts w:ascii="Times New Roman" w:hAnsi="Times New Roman" w:cs="Times New Roman"/>
        </w:rPr>
      </w:pPr>
      <w:r w:rsidRPr="003F49A1">
        <w:rPr>
          <w:rFonts w:ascii="Times New Roman" w:hAnsi="Times New Roman" w:cs="Times New Roman"/>
        </w:rPr>
        <w:t xml:space="preserve">En la primera fase </w:t>
      </w:r>
      <w:r w:rsidR="00EE3D71" w:rsidRPr="003F49A1">
        <w:rPr>
          <w:rFonts w:ascii="Times New Roman" w:hAnsi="Times New Roman" w:cs="Times New Roman"/>
        </w:rPr>
        <w:t>se analizó</w:t>
      </w:r>
      <w:r w:rsidR="00305929" w:rsidRPr="003F49A1">
        <w:rPr>
          <w:rFonts w:ascii="Times New Roman" w:hAnsi="Times New Roman" w:cs="Times New Roman"/>
        </w:rPr>
        <w:t xml:space="preserve"> e</w:t>
      </w:r>
      <w:r w:rsidR="00EE3D71" w:rsidRPr="003F49A1">
        <w:rPr>
          <w:rFonts w:ascii="Times New Roman" w:hAnsi="Times New Roman" w:cs="Times New Roman"/>
        </w:rPr>
        <w:t>l Í</w:t>
      </w:r>
      <w:r w:rsidR="00B03734" w:rsidRPr="003F49A1">
        <w:rPr>
          <w:rFonts w:ascii="Times New Roman" w:hAnsi="Times New Roman" w:cs="Times New Roman"/>
        </w:rPr>
        <w:t>ndice</w:t>
      </w:r>
      <w:r w:rsidR="00EE3D71" w:rsidRPr="003F49A1">
        <w:rPr>
          <w:rFonts w:ascii="Times New Roman" w:hAnsi="Times New Roman" w:cs="Times New Roman"/>
        </w:rPr>
        <w:t xml:space="preserve"> de la Economía del C</w:t>
      </w:r>
      <w:r w:rsidR="00305929" w:rsidRPr="003F49A1">
        <w:rPr>
          <w:rFonts w:ascii="Times New Roman" w:hAnsi="Times New Roman" w:cs="Times New Roman"/>
        </w:rPr>
        <w:t>onocimiento que evalúa el Banco Mundial,</w:t>
      </w:r>
      <w:r w:rsidR="00EE3D71" w:rsidRPr="003F49A1">
        <w:rPr>
          <w:rFonts w:ascii="Times New Roman" w:hAnsi="Times New Roman" w:cs="Times New Roman"/>
        </w:rPr>
        <w:t xml:space="preserve"> el cual </w:t>
      </w:r>
      <w:r w:rsidR="00B03734" w:rsidRPr="003F49A1">
        <w:rPr>
          <w:rFonts w:ascii="Times New Roman" w:hAnsi="Times New Roman" w:cs="Times New Roman"/>
        </w:rPr>
        <w:t xml:space="preserve">está compuesto por 148 variables agrupadas </w:t>
      </w:r>
      <w:r w:rsidR="00067A3E" w:rsidRPr="003F49A1">
        <w:rPr>
          <w:rFonts w:ascii="Times New Roman" w:hAnsi="Times New Roman" w:cs="Times New Roman"/>
        </w:rPr>
        <w:t>en cuatro pilares fundamentales</w:t>
      </w:r>
      <w:r w:rsidR="00EE3D71" w:rsidRPr="003F49A1">
        <w:rPr>
          <w:rFonts w:ascii="Times New Roman" w:hAnsi="Times New Roman" w:cs="Times New Roman"/>
        </w:rPr>
        <w:t xml:space="preserve"> que a continuación se describen</w:t>
      </w:r>
      <w:r w:rsidR="00067A3E" w:rsidRPr="003F49A1">
        <w:rPr>
          <w:rFonts w:ascii="Times New Roman" w:hAnsi="Times New Roman" w:cs="Times New Roman"/>
        </w:rPr>
        <w:t xml:space="preserve">: </w:t>
      </w:r>
    </w:p>
    <w:p w14:paraId="4E6BD002" w14:textId="3A5632C4" w:rsidR="000D3018" w:rsidRPr="003F49A1" w:rsidRDefault="000D3018" w:rsidP="00BA7F3B">
      <w:pPr>
        <w:spacing w:line="360" w:lineRule="auto"/>
        <w:jc w:val="both"/>
        <w:rPr>
          <w:rFonts w:ascii="Times New Roman" w:hAnsi="Times New Roman" w:cs="Times New Roman"/>
        </w:rPr>
      </w:pPr>
    </w:p>
    <w:p w14:paraId="1C2CB812" w14:textId="65054D18" w:rsidR="00BA7F3B" w:rsidRPr="003F49A1" w:rsidRDefault="00BA7F3B" w:rsidP="00BA7F3B">
      <w:pPr>
        <w:pStyle w:val="Prrafodelista"/>
        <w:numPr>
          <w:ilvl w:val="0"/>
          <w:numId w:val="4"/>
        </w:numPr>
        <w:spacing w:line="360" w:lineRule="auto"/>
        <w:jc w:val="both"/>
        <w:rPr>
          <w:rFonts w:ascii="Times New Roman" w:hAnsi="Times New Roman" w:cs="Times New Roman"/>
        </w:rPr>
      </w:pPr>
      <w:r w:rsidRPr="003F49A1">
        <w:rPr>
          <w:rFonts w:ascii="Times New Roman" w:hAnsi="Times New Roman" w:cs="Times New Roman"/>
          <w:b/>
        </w:rPr>
        <w:t>Sistema educativo</w:t>
      </w:r>
      <w:r w:rsidR="000724DC" w:rsidRPr="003F49A1">
        <w:rPr>
          <w:rFonts w:ascii="Times New Roman" w:hAnsi="Times New Roman" w:cs="Times New Roman"/>
        </w:rPr>
        <w:t>. Es una de las</w:t>
      </w:r>
      <w:r w:rsidR="00F539EA" w:rsidRPr="003F49A1">
        <w:rPr>
          <w:rFonts w:ascii="Times New Roman" w:hAnsi="Times New Roman" w:cs="Times New Roman"/>
        </w:rPr>
        <w:t xml:space="preserve"> variable</w:t>
      </w:r>
      <w:r w:rsidR="000724DC" w:rsidRPr="003F49A1">
        <w:rPr>
          <w:rFonts w:ascii="Times New Roman" w:hAnsi="Times New Roman" w:cs="Times New Roman"/>
        </w:rPr>
        <w:t xml:space="preserve">s agrupadas </w:t>
      </w:r>
      <w:r w:rsidR="00F539EA" w:rsidRPr="003F49A1">
        <w:rPr>
          <w:rFonts w:ascii="Times New Roman" w:hAnsi="Times New Roman" w:cs="Times New Roman"/>
        </w:rPr>
        <w:t>que contienen datos para</w:t>
      </w:r>
      <w:r w:rsidRPr="003F49A1">
        <w:rPr>
          <w:rFonts w:ascii="Times New Roman" w:hAnsi="Times New Roman" w:cs="Times New Roman"/>
        </w:rPr>
        <w:t xml:space="preserve"> comprender la</w:t>
      </w:r>
      <w:r w:rsidR="00F539EA" w:rsidRPr="003F49A1">
        <w:rPr>
          <w:rFonts w:ascii="Times New Roman" w:hAnsi="Times New Roman" w:cs="Times New Roman"/>
        </w:rPr>
        <w:t xml:space="preserve"> información que se encuentra</w:t>
      </w:r>
      <w:r w:rsidRPr="003F49A1">
        <w:rPr>
          <w:rFonts w:ascii="Times New Roman" w:hAnsi="Times New Roman" w:cs="Times New Roman"/>
        </w:rPr>
        <w:t xml:space="preserve"> al alcance de las personas, con el fin de adaptarla y generar nuevos conocim</w:t>
      </w:r>
      <w:r w:rsidR="000724DC" w:rsidRPr="003F49A1">
        <w:rPr>
          <w:rFonts w:ascii="Times New Roman" w:hAnsi="Times New Roman" w:cs="Times New Roman"/>
        </w:rPr>
        <w:t>ientos; algunos de los índices</w:t>
      </w:r>
      <w:r w:rsidRPr="003F49A1">
        <w:rPr>
          <w:rFonts w:ascii="Times New Roman" w:hAnsi="Times New Roman" w:cs="Times New Roman"/>
        </w:rPr>
        <w:t xml:space="preserve"> que </w:t>
      </w:r>
      <w:r w:rsidR="000724DC" w:rsidRPr="003F49A1">
        <w:rPr>
          <w:rFonts w:ascii="Times New Roman" w:hAnsi="Times New Roman" w:cs="Times New Roman"/>
        </w:rPr>
        <w:t>la conforman</w:t>
      </w:r>
      <w:r w:rsidRPr="003F49A1">
        <w:rPr>
          <w:rFonts w:ascii="Times New Roman" w:hAnsi="Times New Roman" w:cs="Times New Roman"/>
        </w:rPr>
        <w:t xml:space="preserve"> son: Años de escolaridad promedio, alfabetización adulta, escuelas con acceso a Internet, gastos en educación, fuga de cerebros, desarrollo de género, entre otros.</w:t>
      </w:r>
    </w:p>
    <w:p w14:paraId="7A9E420F" w14:textId="77777777" w:rsidR="00BA7F3B" w:rsidRPr="003F49A1" w:rsidRDefault="00BA7F3B" w:rsidP="00BA7F3B">
      <w:pPr>
        <w:pStyle w:val="Prrafodelista"/>
        <w:spacing w:line="360" w:lineRule="auto"/>
        <w:ind w:left="540"/>
        <w:jc w:val="both"/>
        <w:rPr>
          <w:rFonts w:ascii="Times New Roman" w:hAnsi="Times New Roman" w:cs="Times New Roman"/>
        </w:rPr>
      </w:pPr>
    </w:p>
    <w:p w14:paraId="24592A25" w14:textId="6FB2C2E5" w:rsidR="00BA7F3B" w:rsidRPr="003F49A1" w:rsidRDefault="00BA7F3B" w:rsidP="00BA7F3B">
      <w:pPr>
        <w:pStyle w:val="Prrafodelista"/>
        <w:numPr>
          <w:ilvl w:val="0"/>
          <w:numId w:val="4"/>
        </w:numPr>
        <w:spacing w:line="360" w:lineRule="auto"/>
        <w:jc w:val="both"/>
        <w:rPr>
          <w:rFonts w:ascii="Times New Roman" w:hAnsi="Times New Roman" w:cs="Times New Roman"/>
        </w:rPr>
      </w:pPr>
      <w:r w:rsidRPr="003F49A1">
        <w:rPr>
          <w:rFonts w:ascii="Times New Roman" w:hAnsi="Times New Roman" w:cs="Times New Roman"/>
          <w:b/>
        </w:rPr>
        <w:t>Régimen económico e institucional</w:t>
      </w:r>
      <w:r w:rsidRPr="003F49A1">
        <w:rPr>
          <w:rFonts w:ascii="Times New Roman" w:hAnsi="Times New Roman" w:cs="Times New Roman"/>
        </w:rPr>
        <w:t xml:space="preserve">. </w:t>
      </w:r>
      <w:r w:rsidR="000724DC" w:rsidRPr="003F49A1">
        <w:rPr>
          <w:rFonts w:ascii="Times New Roman" w:hAnsi="Times New Roman" w:cs="Times New Roman"/>
        </w:rPr>
        <w:t>En ésta variable</w:t>
      </w:r>
      <w:r w:rsidRPr="003F49A1">
        <w:rPr>
          <w:rFonts w:ascii="Times New Roman" w:hAnsi="Times New Roman" w:cs="Times New Roman"/>
        </w:rPr>
        <w:t xml:space="preserve"> </w:t>
      </w:r>
      <w:r w:rsidR="000724DC" w:rsidRPr="003F49A1">
        <w:rPr>
          <w:rFonts w:ascii="Times New Roman" w:hAnsi="Times New Roman" w:cs="Times New Roman"/>
        </w:rPr>
        <w:t>se encuentra información acerca de los</w:t>
      </w:r>
      <w:r w:rsidRPr="003F49A1">
        <w:rPr>
          <w:rFonts w:ascii="Times New Roman" w:hAnsi="Times New Roman" w:cs="Times New Roman"/>
        </w:rPr>
        <w:t xml:space="preserve"> incentivos para fomentar la innovación y la protección de derechos de la propiedad intelectual, </w:t>
      </w:r>
      <w:r w:rsidR="000724DC" w:rsidRPr="003F49A1">
        <w:rPr>
          <w:rFonts w:ascii="Times New Roman" w:hAnsi="Times New Roman" w:cs="Times New Roman"/>
        </w:rPr>
        <w:t>los cuales reflejan la</w:t>
      </w:r>
      <w:r w:rsidRPr="003F49A1">
        <w:rPr>
          <w:rFonts w:ascii="Times New Roman" w:hAnsi="Times New Roman" w:cs="Times New Roman"/>
        </w:rPr>
        <w:t xml:space="preserve"> estabilidad para desarrollar las actividades económicas, </w:t>
      </w:r>
      <w:r w:rsidR="000724DC" w:rsidRPr="003F49A1">
        <w:rPr>
          <w:rFonts w:ascii="Times New Roman" w:hAnsi="Times New Roman" w:cs="Times New Roman"/>
        </w:rPr>
        <w:t xml:space="preserve">la </w:t>
      </w:r>
      <w:r w:rsidRPr="003F49A1">
        <w:rPr>
          <w:rFonts w:ascii="Times New Roman" w:hAnsi="Times New Roman" w:cs="Times New Roman"/>
        </w:rPr>
        <w:t>protección de nuevos conocimientos entr</w:t>
      </w:r>
      <w:r w:rsidR="000724DC" w:rsidRPr="003F49A1">
        <w:rPr>
          <w:rFonts w:ascii="Times New Roman" w:hAnsi="Times New Roman" w:cs="Times New Roman"/>
        </w:rPr>
        <w:t>e el comercio y las inversiones;</w:t>
      </w:r>
      <w:r w:rsidRPr="003F49A1">
        <w:rPr>
          <w:rFonts w:ascii="Times New Roman" w:hAnsi="Times New Roman" w:cs="Times New Roman"/>
        </w:rPr>
        <w:t xml:space="preserve"> </w:t>
      </w:r>
      <w:r w:rsidR="000724DC" w:rsidRPr="003F49A1">
        <w:rPr>
          <w:rFonts w:ascii="Times New Roman" w:hAnsi="Times New Roman" w:cs="Times New Roman"/>
        </w:rPr>
        <w:t>alguno</w:t>
      </w:r>
      <w:r w:rsidRPr="003F49A1">
        <w:rPr>
          <w:rFonts w:ascii="Times New Roman" w:hAnsi="Times New Roman" w:cs="Times New Roman"/>
        </w:rPr>
        <w:t>s de l</w:t>
      </w:r>
      <w:r w:rsidR="000724DC" w:rsidRPr="003F49A1">
        <w:rPr>
          <w:rFonts w:ascii="Times New Roman" w:hAnsi="Times New Roman" w:cs="Times New Roman"/>
        </w:rPr>
        <w:t xml:space="preserve">os índices </w:t>
      </w:r>
      <w:r w:rsidRPr="003F49A1">
        <w:rPr>
          <w:rFonts w:ascii="Times New Roman" w:hAnsi="Times New Roman" w:cs="Times New Roman"/>
        </w:rPr>
        <w:t>son: Protección de propiedad intelectual, calidad de regulación, estado de derecho, solidez bancaria, comercio exterior, barreras arancelarias y no arancelarias, control de corrupción, libertad de prensa, entre otros.</w:t>
      </w:r>
    </w:p>
    <w:p w14:paraId="0BB2881D" w14:textId="77777777" w:rsidR="00BA7F3B" w:rsidRPr="003F49A1" w:rsidRDefault="00BA7F3B" w:rsidP="00BA7F3B">
      <w:pPr>
        <w:spacing w:line="360" w:lineRule="auto"/>
        <w:jc w:val="both"/>
        <w:rPr>
          <w:rFonts w:ascii="Times New Roman" w:hAnsi="Times New Roman" w:cs="Times New Roman"/>
        </w:rPr>
      </w:pPr>
    </w:p>
    <w:p w14:paraId="5B1C7CA0" w14:textId="17EE05C8" w:rsidR="00BA7F3B" w:rsidRPr="003F49A1" w:rsidRDefault="00BA7F3B" w:rsidP="00BA7F3B">
      <w:pPr>
        <w:pStyle w:val="Prrafodelista"/>
        <w:numPr>
          <w:ilvl w:val="0"/>
          <w:numId w:val="4"/>
        </w:numPr>
        <w:spacing w:line="360" w:lineRule="auto"/>
        <w:jc w:val="both"/>
        <w:rPr>
          <w:rFonts w:ascii="Times New Roman" w:hAnsi="Times New Roman" w:cs="Times New Roman"/>
        </w:rPr>
      </w:pPr>
      <w:r w:rsidRPr="003F49A1">
        <w:rPr>
          <w:rFonts w:ascii="Times New Roman" w:hAnsi="Times New Roman" w:cs="Times New Roman"/>
          <w:b/>
        </w:rPr>
        <w:lastRenderedPageBreak/>
        <w:t xml:space="preserve">Sistema de innovación. </w:t>
      </w:r>
      <w:r w:rsidR="00B03734" w:rsidRPr="003F49A1">
        <w:rPr>
          <w:rFonts w:ascii="Times New Roman" w:hAnsi="Times New Roman" w:cs="Times New Roman"/>
        </w:rPr>
        <w:t>La variable integra información de</w:t>
      </w:r>
      <w:r w:rsidRPr="003F49A1">
        <w:rPr>
          <w:rFonts w:ascii="Times New Roman" w:hAnsi="Times New Roman" w:cs="Times New Roman"/>
        </w:rPr>
        <w:t xml:space="preserve"> los centros de investigación, universidades, así como otras organizaciones que fomentan y generan nuevo conocimiento, </w:t>
      </w:r>
      <w:r w:rsidR="00B03734" w:rsidRPr="003F49A1">
        <w:rPr>
          <w:rFonts w:ascii="Times New Roman" w:hAnsi="Times New Roman" w:cs="Times New Roman"/>
        </w:rPr>
        <w:t>a través</w:t>
      </w:r>
      <w:r w:rsidRPr="003F49A1">
        <w:rPr>
          <w:rFonts w:ascii="Times New Roman" w:hAnsi="Times New Roman" w:cs="Times New Roman"/>
        </w:rPr>
        <w:t xml:space="preserve"> de sist</w:t>
      </w:r>
      <w:r w:rsidR="00B03734" w:rsidRPr="003F49A1">
        <w:rPr>
          <w:rFonts w:ascii="Times New Roman" w:hAnsi="Times New Roman" w:cs="Times New Roman"/>
        </w:rPr>
        <w:t>emas de información eficientes, Algunos de lo</w:t>
      </w:r>
      <w:r w:rsidRPr="003F49A1">
        <w:rPr>
          <w:rFonts w:ascii="Times New Roman" w:hAnsi="Times New Roman" w:cs="Times New Roman"/>
        </w:rPr>
        <w:t xml:space="preserve">s </w:t>
      </w:r>
      <w:r w:rsidR="00B03734" w:rsidRPr="003F49A1">
        <w:rPr>
          <w:rFonts w:ascii="Times New Roman" w:hAnsi="Times New Roman" w:cs="Times New Roman"/>
        </w:rPr>
        <w:t>índices</w:t>
      </w:r>
      <w:r w:rsidRPr="003F49A1">
        <w:rPr>
          <w:rFonts w:ascii="Times New Roman" w:hAnsi="Times New Roman" w:cs="Times New Roman"/>
        </w:rPr>
        <w:t xml:space="preserve"> son: Pagos por licencias y derechos de autor per cápita, entrada y salida de inversión extranjera, investigadores en I+D</w:t>
      </w:r>
      <w:r w:rsidR="00B03734" w:rsidRPr="003F49A1">
        <w:rPr>
          <w:rStyle w:val="Refdenotaalpie"/>
          <w:rFonts w:ascii="Times New Roman" w:hAnsi="Times New Roman" w:cs="Times New Roman"/>
        </w:rPr>
        <w:footnoteReference w:id="1"/>
      </w:r>
      <w:r w:rsidRPr="003F49A1">
        <w:rPr>
          <w:rFonts w:ascii="Times New Roman" w:hAnsi="Times New Roman" w:cs="Times New Roman"/>
        </w:rPr>
        <w:t xml:space="preserve"> per cápita, artículos científicos per cápita, patentes per cápita, exportación de tecnología avanzada, gastos del sector privado en I+D, presencia en la cadena de valor, entre otros.</w:t>
      </w:r>
    </w:p>
    <w:p w14:paraId="4AD82EB6" w14:textId="77777777" w:rsidR="00B15BF0" w:rsidRPr="003F49A1" w:rsidRDefault="00B15BF0" w:rsidP="00B15BF0">
      <w:pPr>
        <w:spacing w:line="360" w:lineRule="auto"/>
        <w:jc w:val="both"/>
        <w:rPr>
          <w:rFonts w:ascii="Times New Roman" w:hAnsi="Times New Roman" w:cs="Times New Roman"/>
        </w:rPr>
      </w:pPr>
    </w:p>
    <w:p w14:paraId="6EE5F9E3" w14:textId="5E820E01" w:rsidR="00BA7F3B" w:rsidRPr="003F49A1" w:rsidRDefault="00BA7F3B" w:rsidP="00BA7F3B">
      <w:pPr>
        <w:pStyle w:val="Prrafodelista"/>
        <w:numPr>
          <w:ilvl w:val="0"/>
          <w:numId w:val="4"/>
        </w:numPr>
        <w:spacing w:line="360" w:lineRule="auto"/>
        <w:jc w:val="both"/>
        <w:rPr>
          <w:rFonts w:ascii="Times New Roman" w:hAnsi="Times New Roman" w:cs="Times New Roman"/>
        </w:rPr>
      </w:pPr>
      <w:r w:rsidRPr="003F49A1">
        <w:rPr>
          <w:rFonts w:ascii="Times New Roman" w:hAnsi="Times New Roman" w:cs="Times New Roman"/>
          <w:b/>
        </w:rPr>
        <w:t>Infraestructura de la información</w:t>
      </w:r>
      <w:r w:rsidRPr="003F49A1">
        <w:rPr>
          <w:rFonts w:ascii="Times New Roman" w:hAnsi="Times New Roman" w:cs="Times New Roman"/>
        </w:rPr>
        <w:t xml:space="preserve">. </w:t>
      </w:r>
      <w:r w:rsidR="00FB5040" w:rsidRPr="003F49A1">
        <w:rPr>
          <w:rFonts w:ascii="Times New Roman" w:hAnsi="Times New Roman" w:cs="Times New Roman"/>
        </w:rPr>
        <w:t>La variable refleja datos acerca de</w:t>
      </w:r>
      <w:r w:rsidRPr="003F49A1">
        <w:rPr>
          <w:rFonts w:ascii="Times New Roman" w:hAnsi="Times New Roman" w:cs="Times New Roman"/>
        </w:rPr>
        <w:t xml:space="preserve"> las herramientas que facilitan el acceso, la difusión y procesamiento de la info</w:t>
      </w:r>
      <w:r w:rsidR="00FB5040" w:rsidRPr="003F49A1">
        <w:rPr>
          <w:rFonts w:ascii="Times New Roman" w:hAnsi="Times New Roman" w:cs="Times New Roman"/>
        </w:rPr>
        <w:t>rmación, Alguno</w:t>
      </w:r>
      <w:r w:rsidRPr="003F49A1">
        <w:rPr>
          <w:rFonts w:ascii="Times New Roman" w:hAnsi="Times New Roman" w:cs="Times New Roman"/>
        </w:rPr>
        <w:t xml:space="preserve">s de </w:t>
      </w:r>
      <w:r w:rsidR="00FB5040" w:rsidRPr="003F49A1">
        <w:rPr>
          <w:rFonts w:ascii="Times New Roman" w:hAnsi="Times New Roman" w:cs="Times New Roman"/>
        </w:rPr>
        <w:t>los índices</w:t>
      </w:r>
      <w:r w:rsidRPr="003F49A1">
        <w:rPr>
          <w:rFonts w:ascii="Times New Roman" w:hAnsi="Times New Roman" w:cs="Times New Roman"/>
        </w:rPr>
        <w:t xml:space="preserve"> son: Usuarios de Internet per cápita, precio de Internet, servicios gubernamentales por Internet, gastos en tecnologías de información y comunicación, teléfonos móviles per cápita, banda ancha internacional, entre otros.</w:t>
      </w:r>
    </w:p>
    <w:p w14:paraId="07B06BA9" w14:textId="77777777" w:rsidR="00BA7F3B" w:rsidRPr="003F49A1" w:rsidRDefault="00BA7F3B" w:rsidP="00BA7F3B">
      <w:pPr>
        <w:spacing w:line="360" w:lineRule="auto"/>
        <w:jc w:val="both"/>
        <w:rPr>
          <w:rFonts w:ascii="Times New Roman" w:hAnsi="Times New Roman" w:cs="Times New Roman"/>
        </w:rPr>
      </w:pPr>
    </w:p>
    <w:p w14:paraId="44B5F8A8" w14:textId="1FB84B28" w:rsidR="00EE3D71" w:rsidRPr="003F49A1" w:rsidRDefault="00EE3D71" w:rsidP="00EE3D71">
      <w:pPr>
        <w:spacing w:line="360" w:lineRule="auto"/>
        <w:jc w:val="both"/>
        <w:rPr>
          <w:rFonts w:ascii="Times New Roman" w:hAnsi="Times New Roman" w:cs="Times New Roman"/>
        </w:rPr>
      </w:pPr>
      <w:r w:rsidRPr="003F49A1">
        <w:rPr>
          <w:rFonts w:ascii="Times New Roman" w:hAnsi="Times New Roman" w:cs="Times New Roman"/>
        </w:rPr>
        <w:t>Para conocer el impacto que éste tiene en la calidad de la educación se implementó el modelo de análisis FODA, donde se identificaron los factore</w:t>
      </w:r>
      <w:r w:rsidR="00BA44AF" w:rsidRPr="003F49A1">
        <w:rPr>
          <w:rFonts w:ascii="Times New Roman" w:hAnsi="Times New Roman" w:cs="Times New Roman"/>
        </w:rPr>
        <w:t>s potenciales que influyen en los pilares del índice de la</w:t>
      </w:r>
      <w:r w:rsidRPr="003F49A1">
        <w:rPr>
          <w:rFonts w:ascii="Times New Roman" w:hAnsi="Times New Roman" w:cs="Times New Roman"/>
        </w:rPr>
        <w:t xml:space="preserve"> economía del conocimiento</w:t>
      </w:r>
      <w:r w:rsidR="00BA44AF" w:rsidRPr="003F49A1">
        <w:rPr>
          <w:rFonts w:ascii="Times New Roman" w:hAnsi="Times New Roman" w:cs="Times New Roman"/>
        </w:rPr>
        <w:t xml:space="preserve"> del Banco Mundial</w:t>
      </w:r>
      <w:r w:rsidRPr="003F49A1">
        <w:rPr>
          <w:rFonts w:ascii="Times New Roman" w:hAnsi="Times New Roman" w:cs="Times New Roman"/>
        </w:rPr>
        <w:t>.</w:t>
      </w:r>
    </w:p>
    <w:p w14:paraId="7C27F3A0" w14:textId="77777777" w:rsidR="009E5F89" w:rsidRPr="003F49A1" w:rsidRDefault="009E5F89" w:rsidP="00EE3D71">
      <w:pPr>
        <w:spacing w:line="360" w:lineRule="auto"/>
        <w:jc w:val="both"/>
        <w:rPr>
          <w:rFonts w:ascii="Times New Roman" w:hAnsi="Times New Roman" w:cs="Times New Roman"/>
        </w:rPr>
      </w:pPr>
    </w:p>
    <w:p w14:paraId="23BA46E0" w14:textId="770F1DEF" w:rsidR="009E5F89" w:rsidRDefault="006A2E5B" w:rsidP="00EE3D71">
      <w:pPr>
        <w:spacing w:line="360" w:lineRule="auto"/>
        <w:jc w:val="both"/>
        <w:rPr>
          <w:rFonts w:ascii="Times New Roman" w:hAnsi="Times New Roman" w:cs="Times New Roman"/>
        </w:rPr>
      </w:pPr>
      <w:r w:rsidRPr="003F49A1">
        <w:rPr>
          <w:rFonts w:ascii="Times New Roman" w:hAnsi="Times New Roman" w:cs="Times New Roman"/>
        </w:rPr>
        <w:t>La tabla número uno contiene datos relacionados con el an</w:t>
      </w:r>
      <w:r w:rsidR="002E2AF4" w:rsidRPr="003F49A1">
        <w:rPr>
          <w:rFonts w:ascii="Times New Roman" w:hAnsi="Times New Roman" w:cs="Times New Roman"/>
        </w:rPr>
        <w:t>álisis de los factores externos de uno de los pilares del índice del Banco de M</w:t>
      </w:r>
      <w:r w:rsidR="005D34D2" w:rsidRPr="003F49A1">
        <w:rPr>
          <w:rFonts w:ascii="Times New Roman" w:hAnsi="Times New Roman" w:cs="Times New Roman"/>
        </w:rPr>
        <w:t>undial, éste</w:t>
      </w:r>
      <w:r w:rsidR="00D23588" w:rsidRPr="003F49A1">
        <w:rPr>
          <w:rFonts w:ascii="Times New Roman" w:hAnsi="Times New Roman" w:cs="Times New Roman"/>
        </w:rPr>
        <w:t xml:space="preserve"> se </w:t>
      </w:r>
      <w:r w:rsidR="005D34D2" w:rsidRPr="003F49A1">
        <w:rPr>
          <w:rFonts w:ascii="Times New Roman" w:hAnsi="Times New Roman" w:cs="Times New Roman"/>
        </w:rPr>
        <w:t>encuentra fuera del alcance del los resultados obtenidos en el caso de México.</w:t>
      </w:r>
    </w:p>
    <w:p w14:paraId="19FC4FEA" w14:textId="7F9281AC" w:rsidR="003F49A1" w:rsidRDefault="003F49A1" w:rsidP="00EE3D71">
      <w:pPr>
        <w:spacing w:line="360" w:lineRule="auto"/>
        <w:jc w:val="both"/>
        <w:rPr>
          <w:rFonts w:ascii="Times New Roman" w:hAnsi="Times New Roman" w:cs="Times New Roman"/>
        </w:rPr>
      </w:pPr>
    </w:p>
    <w:p w14:paraId="32859022" w14:textId="48F72A83" w:rsidR="003F49A1" w:rsidRDefault="003F49A1" w:rsidP="00EE3D71">
      <w:pPr>
        <w:spacing w:line="360" w:lineRule="auto"/>
        <w:jc w:val="both"/>
        <w:rPr>
          <w:rFonts w:ascii="Times New Roman" w:hAnsi="Times New Roman" w:cs="Times New Roman"/>
        </w:rPr>
      </w:pPr>
    </w:p>
    <w:p w14:paraId="4D26CC57" w14:textId="6479FCE5" w:rsidR="003F49A1" w:rsidRDefault="003F49A1" w:rsidP="00EE3D71">
      <w:pPr>
        <w:spacing w:line="360" w:lineRule="auto"/>
        <w:jc w:val="both"/>
        <w:rPr>
          <w:rFonts w:ascii="Times New Roman" w:hAnsi="Times New Roman" w:cs="Times New Roman"/>
        </w:rPr>
      </w:pPr>
    </w:p>
    <w:p w14:paraId="36E7CE7C" w14:textId="75E93719" w:rsidR="003F49A1" w:rsidRDefault="003F49A1" w:rsidP="00EE3D71">
      <w:pPr>
        <w:spacing w:line="360" w:lineRule="auto"/>
        <w:jc w:val="both"/>
        <w:rPr>
          <w:rFonts w:ascii="Times New Roman" w:hAnsi="Times New Roman" w:cs="Times New Roman"/>
        </w:rPr>
      </w:pPr>
    </w:p>
    <w:p w14:paraId="0EF3A1F0" w14:textId="33981E60" w:rsidR="003F49A1" w:rsidRDefault="003F49A1" w:rsidP="00EE3D71">
      <w:pPr>
        <w:spacing w:line="360" w:lineRule="auto"/>
        <w:jc w:val="both"/>
        <w:rPr>
          <w:rFonts w:ascii="Times New Roman" w:hAnsi="Times New Roman" w:cs="Times New Roman"/>
        </w:rPr>
      </w:pPr>
    </w:p>
    <w:p w14:paraId="6DD20677" w14:textId="2D4EE8E9" w:rsidR="003F49A1" w:rsidRDefault="003F49A1" w:rsidP="00EE3D71">
      <w:pPr>
        <w:spacing w:line="360" w:lineRule="auto"/>
        <w:jc w:val="both"/>
        <w:rPr>
          <w:rFonts w:ascii="Times New Roman" w:hAnsi="Times New Roman" w:cs="Times New Roman"/>
        </w:rPr>
      </w:pPr>
    </w:p>
    <w:p w14:paraId="4749F8DA" w14:textId="77777777" w:rsidR="003F49A1" w:rsidRDefault="003F49A1" w:rsidP="00EE3D71">
      <w:pPr>
        <w:spacing w:line="360" w:lineRule="auto"/>
        <w:jc w:val="both"/>
        <w:rPr>
          <w:rFonts w:ascii="Arial" w:hAnsi="Arial"/>
        </w:rPr>
      </w:pPr>
    </w:p>
    <w:p w14:paraId="1D3CA52F" w14:textId="77777777" w:rsidR="00F86294" w:rsidRDefault="00F86294" w:rsidP="00361D6D">
      <w:pPr>
        <w:tabs>
          <w:tab w:val="left" w:pos="6690"/>
        </w:tabs>
        <w:rPr>
          <w:rFonts w:ascii="Arial" w:hAnsi="Arial"/>
        </w:rPr>
      </w:pPr>
    </w:p>
    <w:p w14:paraId="1DAAE76E" w14:textId="65AB48A7" w:rsidR="00537F28" w:rsidRPr="003F49A1" w:rsidRDefault="008B5056" w:rsidP="003F49A1">
      <w:pPr>
        <w:tabs>
          <w:tab w:val="left" w:pos="6690"/>
        </w:tabs>
        <w:jc w:val="center"/>
        <w:rPr>
          <w:rFonts w:ascii="Times New Roman" w:hAnsi="Times New Roman" w:cs="Times New Roman"/>
          <w:i/>
          <w:noProof/>
          <w:szCs w:val="20"/>
          <w:lang w:val="es-ES"/>
        </w:rPr>
      </w:pPr>
      <w:r w:rsidRPr="003F49A1">
        <w:rPr>
          <w:rFonts w:ascii="Times New Roman" w:hAnsi="Times New Roman" w:cs="Times New Roman"/>
          <w:b/>
          <w:noProof/>
          <w:szCs w:val="20"/>
          <w:lang w:val="es-ES"/>
        </w:rPr>
        <w:lastRenderedPageBreak/>
        <w:t>Tabla</w:t>
      </w:r>
      <w:r w:rsidR="00361D6D" w:rsidRPr="003F49A1">
        <w:rPr>
          <w:rFonts w:ascii="Times New Roman" w:hAnsi="Times New Roman" w:cs="Times New Roman"/>
          <w:b/>
          <w:noProof/>
          <w:szCs w:val="20"/>
          <w:lang w:val="es-ES"/>
        </w:rPr>
        <w:t xml:space="preserve"> </w:t>
      </w:r>
      <w:r w:rsidR="00537F28" w:rsidRPr="003F49A1">
        <w:rPr>
          <w:rFonts w:ascii="Times New Roman" w:hAnsi="Times New Roman" w:cs="Times New Roman"/>
          <w:b/>
          <w:noProof/>
          <w:szCs w:val="20"/>
          <w:lang w:val="es-ES"/>
        </w:rPr>
        <w:t>1</w:t>
      </w:r>
      <w:r w:rsidR="003F49A1" w:rsidRPr="003F49A1">
        <w:rPr>
          <w:rFonts w:ascii="Times New Roman" w:hAnsi="Times New Roman" w:cs="Times New Roman"/>
          <w:b/>
          <w:noProof/>
          <w:szCs w:val="20"/>
          <w:lang w:val="es-ES"/>
        </w:rPr>
        <w:t>.</w:t>
      </w:r>
      <w:r w:rsidR="003F49A1" w:rsidRPr="003F49A1">
        <w:rPr>
          <w:rFonts w:ascii="Times New Roman" w:hAnsi="Times New Roman" w:cs="Times New Roman"/>
          <w:noProof/>
          <w:szCs w:val="20"/>
          <w:lang w:val="es-ES"/>
        </w:rPr>
        <w:t xml:space="preserve"> </w:t>
      </w:r>
      <w:r w:rsidR="00537F28" w:rsidRPr="003F49A1">
        <w:rPr>
          <w:rFonts w:ascii="Times New Roman" w:hAnsi="Times New Roman" w:cs="Times New Roman"/>
          <w:noProof/>
          <w:szCs w:val="20"/>
          <w:lang w:val="es-ES"/>
        </w:rPr>
        <w:t xml:space="preserve">Análisis </w:t>
      </w:r>
      <w:r w:rsidR="00322135" w:rsidRPr="003F49A1">
        <w:rPr>
          <w:rFonts w:ascii="Times New Roman" w:hAnsi="Times New Roman" w:cs="Times New Roman"/>
          <w:noProof/>
          <w:szCs w:val="20"/>
          <w:lang w:val="es-ES"/>
        </w:rPr>
        <w:t xml:space="preserve">de los factores </w:t>
      </w:r>
      <w:r w:rsidR="009E5F89" w:rsidRPr="003F49A1">
        <w:rPr>
          <w:rFonts w:ascii="Times New Roman" w:hAnsi="Times New Roman" w:cs="Times New Roman"/>
          <w:noProof/>
          <w:szCs w:val="20"/>
          <w:lang w:val="es-ES"/>
        </w:rPr>
        <w:t>externos</w:t>
      </w:r>
      <w:r w:rsidR="00585A15" w:rsidRPr="003F49A1">
        <w:rPr>
          <w:rFonts w:ascii="Times New Roman" w:hAnsi="Times New Roman" w:cs="Times New Roman"/>
          <w:noProof/>
          <w:szCs w:val="20"/>
          <w:lang w:val="es-ES"/>
        </w:rPr>
        <w:t xml:space="preserve"> </w:t>
      </w:r>
      <w:r w:rsidR="00322135" w:rsidRPr="003F49A1">
        <w:rPr>
          <w:rFonts w:ascii="Times New Roman" w:hAnsi="Times New Roman" w:cs="Times New Roman"/>
          <w:noProof/>
          <w:szCs w:val="20"/>
          <w:lang w:val="es-ES"/>
        </w:rPr>
        <w:t xml:space="preserve">que influyen en </w:t>
      </w:r>
      <w:r w:rsidR="00537F28" w:rsidRPr="003F49A1">
        <w:rPr>
          <w:rFonts w:ascii="Times New Roman" w:hAnsi="Times New Roman" w:cs="Times New Roman"/>
          <w:noProof/>
          <w:szCs w:val="20"/>
          <w:lang w:val="es-ES"/>
        </w:rPr>
        <w:t xml:space="preserve">los pilares del índice de la economía del conocimiento </w:t>
      </w:r>
      <w:r w:rsidR="00322135" w:rsidRPr="003F49A1">
        <w:rPr>
          <w:rFonts w:ascii="Times New Roman" w:hAnsi="Times New Roman" w:cs="Times New Roman"/>
          <w:noProof/>
          <w:szCs w:val="20"/>
          <w:lang w:val="es-ES"/>
        </w:rPr>
        <w:t>del Banco Mundial</w:t>
      </w:r>
    </w:p>
    <w:p w14:paraId="3E72AF9B" w14:textId="77777777" w:rsidR="009E5F89" w:rsidRDefault="009E5F89" w:rsidP="00944E20">
      <w:pPr>
        <w:tabs>
          <w:tab w:val="left" w:pos="6690"/>
        </w:tabs>
        <w:rPr>
          <w:rFonts w:ascii="Arial" w:hAnsi="Arial" w:cs="Arial"/>
          <w:b/>
          <w:noProof/>
          <w:sz w:val="18"/>
          <w:szCs w:val="18"/>
          <w:lang w:val="es-ES"/>
        </w:rPr>
      </w:pPr>
    </w:p>
    <w:p w14:paraId="50C7A353" w14:textId="77777777" w:rsidR="009E5F89" w:rsidRDefault="009E5F89" w:rsidP="00585A15">
      <w:pPr>
        <w:tabs>
          <w:tab w:val="left" w:pos="6690"/>
        </w:tabs>
        <w:jc w:val="center"/>
        <w:rPr>
          <w:rFonts w:ascii="Arial" w:hAnsi="Arial" w:cs="Arial"/>
          <w:b/>
          <w:noProof/>
          <w:sz w:val="18"/>
          <w:szCs w:val="18"/>
          <w:lang w:val="es-ES"/>
        </w:rPr>
      </w:pPr>
    </w:p>
    <w:tbl>
      <w:tblPr>
        <w:tblStyle w:val="Tablaconcuadrcula"/>
        <w:tblW w:w="8221" w:type="dxa"/>
        <w:tblInd w:w="392" w:type="dxa"/>
        <w:tblLook w:val="04A0" w:firstRow="1" w:lastRow="0" w:firstColumn="1" w:lastColumn="0" w:noHBand="0" w:noVBand="1"/>
      </w:tblPr>
      <w:tblGrid>
        <w:gridCol w:w="4252"/>
        <w:gridCol w:w="3969"/>
      </w:tblGrid>
      <w:tr w:rsidR="009E5F89" w:rsidRPr="008B5056" w14:paraId="0684B80C" w14:textId="77777777" w:rsidTr="00F63331">
        <w:tc>
          <w:tcPr>
            <w:tcW w:w="8221" w:type="dxa"/>
            <w:gridSpan w:val="2"/>
            <w:tcBorders>
              <w:top w:val="thinThickLargeGap" w:sz="24" w:space="0" w:color="000090"/>
              <w:left w:val="thinThickLargeGap" w:sz="24" w:space="0" w:color="000090"/>
              <w:bottom w:val="thinThickLargeGap" w:sz="24" w:space="0" w:color="000090"/>
              <w:right w:val="thinThickLargeGap" w:sz="24" w:space="0" w:color="000090"/>
            </w:tcBorders>
            <w:shd w:val="clear" w:color="auto" w:fill="EAF1DD" w:themeFill="accent3" w:themeFillTint="33"/>
          </w:tcPr>
          <w:p w14:paraId="6B285D00" w14:textId="11940DF1" w:rsidR="009E5F89" w:rsidRPr="00484FAE" w:rsidRDefault="009E5F89" w:rsidP="00484FAE">
            <w:pPr>
              <w:jc w:val="center"/>
              <w:rPr>
                <w:rFonts w:ascii="Arial" w:hAnsi="Arial"/>
                <w:b/>
                <w:color w:val="000090"/>
                <w:sz w:val="20"/>
                <w:szCs w:val="20"/>
              </w:rPr>
            </w:pPr>
            <w:r w:rsidRPr="008B5056">
              <w:rPr>
                <w:rFonts w:ascii="Arial" w:hAnsi="Arial"/>
                <w:b/>
                <w:color w:val="000090"/>
                <w:sz w:val="20"/>
                <w:szCs w:val="20"/>
              </w:rPr>
              <w:t>FACTORES EXTERNOS</w:t>
            </w:r>
          </w:p>
        </w:tc>
      </w:tr>
      <w:tr w:rsidR="009E5F89" w:rsidRPr="008B5056" w14:paraId="427852DC" w14:textId="77777777" w:rsidTr="00F63331">
        <w:tblPrEx>
          <w:tblBorders>
            <w:top w:val="double" w:sz="18" w:space="0" w:color="000090"/>
            <w:left w:val="double" w:sz="18" w:space="0" w:color="000090"/>
            <w:bottom w:val="double" w:sz="18" w:space="0" w:color="000090"/>
            <w:right w:val="double" w:sz="18" w:space="0" w:color="000090"/>
            <w:insideH w:val="double" w:sz="18" w:space="0" w:color="000090"/>
            <w:insideV w:val="double" w:sz="18" w:space="0" w:color="000090"/>
          </w:tblBorders>
        </w:tblPrEx>
        <w:tc>
          <w:tcPr>
            <w:tcW w:w="4252" w:type="dxa"/>
            <w:tcBorders>
              <w:top w:val="thinThickLargeGap" w:sz="24" w:space="0" w:color="000090"/>
              <w:left w:val="thinThickLargeGap" w:sz="24" w:space="0" w:color="000090"/>
              <w:bottom w:val="thinThickLargeGap" w:sz="24" w:space="0" w:color="000090"/>
              <w:right w:val="thinThickLargeGap" w:sz="24" w:space="0" w:color="000090"/>
            </w:tcBorders>
            <w:shd w:val="clear" w:color="auto" w:fill="auto"/>
          </w:tcPr>
          <w:p w14:paraId="7976F17A" w14:textId="77777777" w:rsidR="009E5F89" w:rsidRPr="008B5056" w:rsidRDefault="009E5F89" w:rsidP="00484FAE">
            <w:pPr>
              <w:tabs>
                <w:tab w:val="left" w:pos="6690"/>
              </w:tabs>
              <w:spacing w:line="360" w:lineRule="auto"/>
              <w:jc w:val="center"/>
              <w:rPr>
                <w:rFonts w:ascii="Arial" w:hAnsi="Arial" w:cs="Arial"/>
                <w:b/>
                <w:color w:val="244061" w:themeColor="accent1" w:themeShade="80"/>
                <w:sz w:val="20"/>
                <w:szCs w:val="20"/>
              </w:rPr>
            </w:pPr>
            <w:r w:rsidRPr="008B5056">
              <w:rPr>
                <w:rFonts w:ascii="Arial" w:hAnsi="Arial" w:cs="Arial"/>
                <w:b/>
                <w:color w:val="244061" w:themeColor="accent1" w:themeShade="80"/>
                <w:sz w:val="20"/>
                <w:szCs w:val="20"/>
              </w:rPr>
              <w:t>Oportunidades</w:t>
            </w:r>
          </w:p>
          <w:p w14:paraId="631ADEF6" w14:textId="77777777" w:rsidR="009E5F89" w:rsidRPr="008B5056" w:rsidRDefault="009E5F89" w:rsidP="009E5F89">
            <w:pPr>
              <w:tabs>
                <w:tab w:val="left" w:pos="6690"/>
              </w:tabs>
              <w:rPr>
                <w:rFonts w:ascii="Arial" w:hAnsi="Arial" w:cs="Arial"/>
                <w:b/>
                <w:sz w:val="20"/>
                <w:szCs w:val="20"/>
              </w:rPr>
            </w:pPr>
            <w:r w:rsidRPr="008B5056">
              <w:rPr>
                <w:rFonts w:ascii="Arial" w:hAnsi="Arial" w:cs="Arial"/>
                <w:b/>
                <w:sz w:val="20"/>
                <w:szCs w:val="20"/>
              </w:rPr>
              <w:t>2. Sistema de Innovación.</w:t>
            </w:r>
          </w:p>
          <w:p w14:paraId="18E87722" w14:textId="77777777" w:rsidR="009E5F89" w:rsidRPr="008B5056" w:rsidRDefault="009E5F89" w:rsidP="009E5F89">
            <w:pPr>
              <w:tabs>
                <w:tab w:val="left" w:pos="6690"/>
              </w:tabs>
              <w:rPr>
                <w:rFonts w:ascii="Arial" w:hAnsi="Arial" w:cs="Arial"/>
                <w:b/>
                <w:sz w:val="20"/>
                <w:szCs w:val="20"/>
              </w:rPr>
            </w:pPr>
          </w:p>
          <w:p w14:paraId="292F1F2E" w14:textId="77777777" w:rsidR="009E5F89" w:rsidRPr="008B5056" w:rsidRDefault="009E5F89" w:rsidP="009E5F89">
            <w:pPr>
              <w:pStyle w:val="Prrafodelista"/>
              <w:numPr>
                <w:ilvl w:val="0"/>
                <w:numId w:val="7"/>
              </w:numPr>
              <w:tabs>
                <w:tab w:val="left" w:pos="6690"/>
              </w:tabs>
              <w:jc w:val="both"/>
              <w:rPr>
                <w:rFonts w:ascii="Arial" w:hAnsi="Arial" w:cs="Arial"/>
                <w:sz w:val="20"/>
                <w:szCs w:val="20"/>
              </w:rPr>
            </w:pPr>
            <w:r w:rsidRPr="008B5056">
              <w:rPr>
                <w:rFonts w:ascii="Arial" w:hAnsi="Arial" w:cs="Arial"/>
                <w:sz w:val="20"/>
                <w:szCs w:val="20"/>
              </w:rPr>
              <w:t>América Latina cuenta con 560 políticas e instrumentos de ciencia, tecnología e innovación.</w:t>
            </w:r>
          </w:p>
          <w:p w14:paraId="0FCBFAA9" w14:textId="77777777" w:rsidR="009E5F89" w:rsidRPr="008B5056" w:rsidRDefault="009E5F89" w:rsidP="009E5F89">
            <w:pPr>
              <w:pStyle w:val="Prrafodelista"/>
              <w:numPr>
                <w:ilvl w:val="0"/>
                <w:numId w:val="7"/>
              </w:numPr>
              <w:tabs>
                <w:tab w:val="left" w:pos="6690"/>
              </w:tabs>
              <w:jc w:val="both"/>
              <w:rPr>
                <w:rFonts w:ascii="Arial" w:hAnsi="Arial" w:cs="Arial"/>
                <w:sz w:val="20"/>
                <w:szCs w:val="20"/>
              </w:rPr>
            </w:pPr>
            <w:r w:rsidRPr="008B5056">
              <w:rPr>
                <w:rFonts w:ascii="Arial" w:hAnsi="Arial" w:cs="Arial"/>
                <w:sz w:val="20"/>
                <w:szCs w:val="20"/>
              </w:rPr>
              <w:t>Las políticas e instrumentos en áreas estratégicas tienen un enfoque vertical, que incluyen incentivos a la investigación, innovación o al fortalecimiento del RRHH.</w:t>
            </w:r>
          </w:p>
          <w:p w14:paraId="1F5BDBCB" w14:textId="77777777" w:rsidR="009E5F89" w:rsidRPr="008B5056" w:rsidRDefault="009E5F89" w:rsidP="009E5F89">
            <w:pPr>
              <w:pStyle w:val="Prrafodelista"/>
              <w:numPr>
                <w:ilvl w:val="0"/>
                <w:numId w:val="7"/>
              </w:numPr>
              <w:tabs>
                <w:tab w:val="left" w:pos="6690"/>
              </w:tabs>
              <w:rPr>
                <w:rFonts w:ascii="Arial" w:hAnsi="Arial" w:cs="Arial"/>
                <w:sz w:val="20"/>
                <w:szCs w:val="20"/>
              </w:rPr>
            </w:pPr>
            <w:r w:rsidRPr="008B5056">
              <w:rPr>
                <w:rFonts w:ascii="Arial" w:hAnsi="Arial" w:cs="Arial"/>
                <w:sz w:val="20"/>
                <w:szCs w:val="20"/>
              </w:rPr>
              <w:t>Por cada millón de habitantes en América Latina se publican 19.19 papers en ESCOPUS y 1.33 en PASCAL.</w:t>
            </w:r>
          </w:p>
          <w:p w14:paraId="220BCFA4" w14:textId="77777777" w:rsidR="009E5F89" w:rsidRPr="008B5056" w:rsidRDefault="009E5F89" w:rsidP="009E5F89">
            <w:pPr>
              <w:pStyle w:val="Prrafodelista"/>
              <w:tabs>
                <w:tab w:val="left" w:pos="6690"/>
              </w:tabs>
              <w:rPr>
                <w:rFonts w:ascii="Arial" w:hAnsi="Arial" w:cs="Arial"/>
                <w:sz w:val="20"/>
                <w:szCs w:val="20"/>
              </w:rPr>
            </w:pPr>
          </w:p>
        </w:tc>
        <w:tc>
          <w:tcPr>
            <w:tcW w:w="3969" w:type="dxa"/>
            <w:tcBorders>
              <w:top w:val="thinThickLargeGap" w:sz="24" w:space="0" w:color="000090"/>
              <w:left w:val="thinThickLargeGap" w:sz="24" w:space="0" w:color="000090"/>
              <w:bottom w:val="thinThickLargeGap" w:sz="24" w:space="0" w:color="000090"/>
              <w:right w:val="thinThickLargeGap" w:sz="24" w:space="0" w:color="000090"/>
            </w:tcBorders>
            <w:shd w:val="clear" w:color="auto" w:fill="auto"/>
          </w:tcPr>
          <w:p w14:paraId="68D3E7DD" w14:textId="77777777" w:rsidR="009E5F89" w:rsidRPr="008B5056" w:rsidRDefault="009E5F89" w:rsidP="00484FAE">
            <w:pPr>
              <w:tabs>
                <w:tab w:val="left" w:pos="6690"/>
              </w:tabs>
              <w:spacing w:line="360" w:lineRule="auto"/>
              <w:jc w:val="center"/>
              <w:rPr>
                <w:rFonts w:ascii="Arial" w:hAnsi="Arial" w:cs="Arial"/>
                <w:b/>
                <w:color w:val="244061" w:themeColor="accent1" w:themeShade="80"/>
                <w:sz w:val="20"/>
                <w:szCs w:val="20"/>
              </w:rPr>
            </w:pPr>
            <w:r w:rsidRPr="008B5056">
              <w:rPr>
                <w:rFonts w:ascii="Arial" w:hAnsi="Arial" w:cs="Arial"/>
                <w:b/>
                <w:color w:val="244061" w:themeColor="accent1" w:themeShade="80"/>
                <w:sz w:val="20"/>
                <w:szCs w:val="20"/>
              </w:rPr>
              <w:t>Amenazas</w:t>
            </w:r>
          </w:p>
          <w:p w14:paraId="2472E526" w14:textId="77777777" w:rsidR="009E5F89" w:rsidRPr="008B5056" w:rsidRDefault="009E5F89" w:rsidP="009E5F89">
            <w:pPr>
              <w:tabs>
                <w:tab w:val="left" w:pos="6690"/>
              </w:tabs>
              <w:rPr>
                <w:rFonts w:ascii="Arial" w:hAnsi="Arial" w:cs="Arial"/>
                <w:b/>
                <w:sz w:val="20"/>
                <w:szCs w:val="20"/>
              </w:rPr>
            </w:pPr>
            <w:r w:rsidRPr="008B5056">
              <w:rPr>
                <w:rFonts w:ascii="Arial" w:hAnsi="Arial" w:cs="Arial"/>
                <w:b/>
                <w:sz w:val="20"/>
                <w:szCs w:val="20"/>
              </w:rPr>
              <w:t>2. Sistema de Innovación.</w:t>
            </w:r>
          </w:p>
          <w:p w14:paraId="66CDB0CE" w14:textId="77777777" w:rsidR="009E5F89" w:rsidRPr="008B5056" w:rsidRDefault="009E5F89" w:rsidP="009E5F89">
            <w:pPr>
              <w:tabs>
                <w:tab w:val="left" w:pos="6690"/>
              </w:tabs>
              <w:rPr>
                <w:rFonts w:ascii="Arial" w:hAnsi="Arial" w:cs="Arial"/>
                <w:b/>
                <w:sz w:val="20"/>
                <w:szCs w:val="20"/>
              </w:rPr>
            </w:pPr>
          </w:p>
          <w:p w14:paraId="7C04AC0B" w14:textId="77777777" w:rsidR="009E5F89" w:rsidRPr="008B5056" w:rsidRDefault="009E5F89" w:rsidP="009E5F89">
            <w:pPr>
              <w:pStyle w:val="Prrafodelista"/>
              <w:widowControl w:val="0"/>
              <w:numPr>
                <w:ilvl w:val="0"/>
                <w:numId w:val="8"/>
              </w:numPr>
              <w:autoSpaceDE w:val="0"/>
              <w:autoSpaceDN w:val="0"/>
              <w:adjustRightInd w:val="0"/>
              <w:spacing w:after="240"/>
              <w:jc w:val="both"/>
              <w:rPr>
                <w:rFonts w:ascii="Arial" w:hAnsi="Arial" w:cs="Arial"/>
                <w:color w:val="000000"/>
                <w:sz w:val="20"/>
                <w:szCs w:val="20"/>
                <w:lang w:val="es-ES"/>
              </w:rPr>
            </w:pPr>
            <w:r w:rsidRPr="008B5056">
              <w:rPr>
                <w:rFonts w:ascii="Arial" w:hAnsi="Arial" w:cs="Arial"/>
                <w:color w:val="000000"/>
                <w:sz w:val="20"/>
                <w:szCs w:val="20"/>
                <w:lang w:val="es-ES"/>
              </w:rPr>
              <w:t xml:space="preserve">Las políticas e instrumentos de ciencia, tecnología e innovación con excepción de las áreas estratégicas, tienen un enfoque horizontal, esto es: Que no están dirigidos a un área del conocimiento, sector productivo o área tecnológica en particular. </w:t>
            </w:r>
          </w:p>
          <w:p w14:paraId="5A4920B3" w14:textId="30D76966" w:rsidR="009E5F89" w:rsidRPr="008B5056" w:rsidRDefault="009E5F89" w:rsidP="009E5F89">
            <w:pPr>
              <w:pStyle w:val="Prrafodelista"/>
              <w:numPr>
                <w:ilvl w:val="0"/>
                <w:numId w:val="8"/>
              </w:numPr>
              <w:tabs>
                <w:tab w:val="left" w:pos="6690"/>
              </w:tabs>
              <w:jc w:val="both"/>
              <w:rPr>
                <w:rFonts w:ascii="Arial" w:hAnsi="Arial" w:cs="Arial"/>
                <w:sz w:val="20"/>
                <w:szCs w:val="20"/>
              </w:rPr>
            </w:pPr>
            <w:r w:rsidRPr="008B5056">
              <w:rPr>
                <w:rFonts w:ascii="Arial" w:hAnsi="Arial" w:cs="Arial"/>
                <w:sz w:val="20"/>
                <w:szCs w:val="20"/>
              </w:rPr>
              <w:t>Por cada millón de habitantes en América Latin</w:t>
            </w:r>
            <w:r w:rsidR="00AB1296">
              <w:rPr>
                <w:rFonts w:ascii="Arial" w:hAnsi="Arial" w:cs="Arial"/>
                <w:sz w:val="20"/>
                <w:szCs w:val="20"/>
              </w:rPr>
              <w:t>a, se publican cero</w:t>
            </w:r>
            <w:r w:rsidRPr="008B5056">
              <w:rPr>
                <w:rFonts w:ascii="Arial" w:hAnsi="Arial" w:cs="Arial"/>
                <w:sz w:val="20"/>
                <w:szCs w:val="20"/>
              </w:rPr>
              <w:t xml:space="preserve">  papers en Science Citation Index (SCI).</w:t>
            </w:r>
          </w:p>
        </w:tc>
      </w:tr>
    </w:tbl>
    <w:p w14:paraId="303F9E47" w14:textId="77777777" w:rsidR="00CF7502" w:rsidRPr="003F49A1" w:rsidRDefault="00CF7502" w:rsidP="0075432F">
      <w:pPr>
        <w:rPr>
          <w:rFonts w:ascii="Times New Roman" w:hAnsi="Times New Roman" w:cs="Times New Roman"/>
          <w:b/>
          <w:szCs w:val="20"/>
        </w:rPr>
      </w:pPr>
    </w:p>
    <w:p w14:paraId="151D4216" w14:textId="2EF75EE9" w:rsidR="0075432F" w:rsidRPr="003F49A1" w:rsidRDefault="00CF7502" w:rsidP="003F49A1">
      <w:pPr>
        <w:jc w:val="center"/>
        <w:rPr>
          <w:rFonts w:ascii="Times New Roman" w:hAnsi="Times New Roman" w:cs="Times New Roman"/>
          <w:szCs w:val="20"/>
        </w:rPr>
      </w:pPr>
      <w:r w:rsidRPr="003F49A1">
        <w:rPr>
          <w:rFonts w:ascii="Times New Roman" w:hAnsi="Times New Roman" w:cs="Times New Roman"/>
          <w:b/>
          <w:szCs w:val="20"/>
        </w:rPr>
        <w:t>Nota</w:t>
      </w:r>
      <w:r w:rsidR="0075432F" w:rsidRPr="003F49A1">
        <w:rPr>
          <w:rFonts w:ascii="Times New Roman" w:hAnsi="Times New Roman" w:cs="Times New Roman"/>
          <w:b/>
          <w:szCs w:val="20"/>
        </w:rPr>
        <w:t>:</w:t>
      </w:r>
      <w:r w:rsidR="0075432F" w:rsidRPr="003F49A1">
        <w:rPr>
          <w:rFonts w:ascii="Times New Roman" w:hAnsi="Times New Roman" w:cs="Times New Roman"/>
          <w:szCs w:val="20"/>
        </w:rPr>
        <w:t xml:space="preserve"> </w:t>
      </w:r>
      <w:r w:rsidRPr="003F49A1">
        <w:rPr>
          <w:rFonts w:ascii="Times New Roman" w:hAnsi="Times New Roman" w:cs="Times New Roman"/>
          <w:szCs w:val="20"/>
        </w:rPr>
        <w:t>Adaptado de</w:t>
      </w:r>
      <w:r w:rsidR="0098665E" w:rsidRPr="003F49A1">
        <w:rPr>
          <w:rFonts w:ascii="Times New Roman" w:hAnsi="Times New Roman" w:cs="Times New Roman"/>
          <w:szCs w:val="20"/>
        </w:rPr>
        <w:t xml:space="preserve"> </w:t>
      </w:r>
      <w:r w:rsidRPr="003F49A1">
        <w:rPr>
          <w:rFonts w:ascii="Times New Roman" w:hAnsi="Times New Roman" w:cs="Times New Roman"/>
          <w:szCs w:val="20"/>
        </w:rPr>
        <w:t>BM (</w:t>
      </w:r>
      <w:r w:rsidR="0075432F" w:rsidRPr="003F49A1">
        <w:rPr>
          <w:rFonts w:ascii="Times New Roman" w:hAnsi="Times New Roman" w:cs="Times New Roman"/>
          <w:szCs w:val="20"/>
        </w:rPr>
        <w:t>2012)</w:t>
      </w:r>
      <w:r w:rsidRPr="003F49A1">
        <w:rPr>
          <w:rFonts w:ascii="Times New Roman" w:hAnsi="Times New Roman" w:cs="Times New Roman"/>
          <w:szCs w:val="20"/>
        </w:rPr>
        <w:t>. Índice de la Economía del Conocimiento.</w:t>
      </w:r>
    </w:p>
    <w:p w14:paraId="1E7D1485" w14:textId="77777777" w:rsidR="0075432F" w:rsidRDefault="0075432F" w:rsidP="0075432F"/>
    <w:p w14:paraId="3F7647A2" w14:textId="3F2588D2" w:rsidR="009E5F89" w:rsidRDefault="00304777" w:rsidP="00042AE1">
      <w:pPr>
        <w:spacing w:line="360" w:lineRule="auto"/>
        <w:jc w:val="both"/>
        <w:rPr>
          <w:rFonts w:ascii="Times New Roman" w:hAnsi="Times New Roman" w:cs="Times New Roman"/>
        </w:rPr>
      </w:pPr>
      <w:r w:rsidRPr="003F49A1">
        <w:rPr>
          <w:rFonts w:ascii="Times New Roman" w:hAnsi="Times New Roman" w:cs="Times New Roman"/>
        </w:rPr>
        <w:t xml:space="preserve">En tabla número dos, </w:t>
      </w:r>
      <w:r w:rsidR="00B2781B" w:rsidRPr="003F49A1">
        <w:rPr>
          <w:rFonts w:ascii="Times New Roman" w:hAnsi="Times New Roman" w:cs="Times New Roman"/>
        </w:rPr>
        <w:t xml:space="preserve">se </w:t>
      </w:r>
      <w:r w:rsidRPr="003F49A1">
        <w:rPr>
          <w:rFonts w:ascii="Times New Roman" w:hAnsi="Times New Roman" w:cs="Times New Roman"/>
        </w:rPr>
        <w:t>engloba</w:t>
      </w:r>
      <w:r w:rsidR="00B2781B" w:rsidRPr="003F49A1">
        <w:rPr>
          <w:rFonts w:ascii="Times New Roman" w:hAnsi="Times New Roman" w:cs="Times New Roman"/>
        </w:rPr>
        <w:t>n</w:t>
      </w:r>
      <w:r w:rsidR="00F14D87" w:rsidRPr="003F49A1">
        <w:rPr>
          <w:rFonts w:ascii="Times New Roman" w:hAnsi="Times New Roman" w:cs="Times New Roman"/>
        </w:rPr>
        <w:t xml:space="preserve"> lo</w:t>
      </w:r>
      <w:r w:rsidR="00BE24F1" w:rsidRPr="003F49A1">
        <w:rPr>
          <w:rFonts w:ascii="Times New Roman" w:hAnsi="Times New Roman" w:cs="Times New Roman"/>
        </w:rPr>
        <w:t>s cuatro pilares del índice</w:t>
      </w:r>
      <w:r w:rsidR="00F14D87" w:rsidRPr="003F49A1">
        <w:rPr>
          <w:rFonts w:ascii="Times New Roman" w:hAnsi="Times New Roman" w:cs="Times New Roman"/>
        </w:rPr>
        <w:t xml:space="preserve"> del Banco Mundial</w:t>
      </w:r>
      <w:r w:rsidR="00B2781B" w:rsidRPr="003F49A1">
        <w:rPr>
          <w:rFonts w:ascii="Times New Roman" w:hAnsi="Times New Roman" w:cs="Times New Roman"/>
        </w:rPr>
        <w:t>, respecto al análisis de los</w:t>
      </w:r>
      <w:r w:rsidR="009B2208" w:rsidRPr="003F49A1">
        <w:rPr>
          <w:rFonts w:ascii="Times New Roman" w:hAnsi="Times New Roman" w:cs="Times New Roman"/>
        </w:rPr>
        <w:t xml:space="preserve"> factores internos</w:t>
      </w:r>
      <w:r w:rsidR="00F14D87" w:rsidRPr="003F49A1">
        <w:rPr>
          <w:rFonts w:ascii="Times New Roman" w:hAnsi="Times New Roman" w:cs="Times New Roman"/>
        </w:rPr>
        <w:t>.</w:t>
      </w:r>
    </w:p>
    <w:p w14:paraId="1DFEB316" w14:textId="4F2921D1" w:rsidR="003F49A1" w:rsidRDefault="003F49A1" w:rsidP="00042AE1">
      <w:pPr>
        <w:spacing w:line="360" w:lineRule="auto"/>
        <w:jc w:val="both"/>
        <w:rPr>
          <w:rFonts w:ascii="Times New Roman" w:hAnsi="Times New Roman" w:cs="Times New Roman"/>
        </w:rPr>
      </w:pPr>
    </w:p>
    <w:p w14:paraId="78032C0F" w14:textId="2CBE3330" w:rsidR="003F49A1" w:rsidRDefault="003F49A1" w:rsidP="00042AE1">
      <w:pPr>
        <w:spacing w:line="360" w:lineRule="auto"/>
        <w:jc w:val="both"/>
        <w:rPr>
          <w:rFonts w:ascii="Times New Roman" w:hAnsi="Times New Roman" w:cs="Times New Roman"/>
        </w:rPr>
      </w:pPr>
    </w:p>
    <w:p w14:paraId="17BE761B" w14:textId="00C5B018" w:rsidR="003F49A1" w:rsidRDefault="003F49A1" w:rsidP="00042AE1">
      <w:pPr>
        <w:spacing w:line="360" w:lineRule="auto"/>
        <w:jc w:val="both"/>
        <w:rPr>
          <w:rFonts w:ascii="Times New Roman" w:hAnsi="Times New Roman" w:cs="Times New Roman"/>
        </w:rPr>
      </w:pPr>
    </w:p>
    <w:p w14:paraId="3B014ABB" w14:textId="3B9CC2C0" w:rsidR="003F49A1" w:rsidRDefault="003F49A1" w:rsidP="00042AE1">
      <w:pPr>
        <w:spacing w:line="360" w:lineRule="auto"/>
        <w:jc w:val="both"/>
        <w:rPr>
          <w:rFonts w:ascii="Times New Roman" w:hAnsi="Times New Roman" w:cs="Times New Roman"/>
        </w:rPr>
      </w:pPr>
    </w:p>
    <w:p w14:paraId="07E80463" w14:textId="6AFD0C20" w:rsidR="003F49A1" w:rsidRDefault="003F49A1" w:rsidP="00042AE1">
      <w:pPr>
        <w:spacing w:line="360" w:lineRule="auto"/>
        <w:jc w:val="both"/>
        <w:rPr>
          <w:rFonts w:ascii="Times New Roman" w:hAnsi="Times New Roman" w:cs="Times New Roman"/>
        </w:rPr>
      </w:pPr>
    </w:p>
    <w:p w14:paraId="08C71061" w14:textId="57CC0A51" w:rsidR="003F49A1" w:rsidRDefault="003F49A1" w:rsidP="00042AE1">
      <w:pPr>
        <w:spacing w:line="360" w:lineRule="auto"/>
        <w:jc w:val="both"/>
        <w:rPr>
          <w:rFonts w:ascii="Times New Roman" w:hAnsi="Times New Roman" w:cs="Times New Roman"/>
        </w:rPr>
      </w:pPr>
    </w:p>
    <w:p w14:paraId="49B49E4A" w14:textId="3129670F" w:rsidR="003F49A1" w:rsidRDefault="003F49A1" w:rsidP="00042AE1">
      <w:pPr>
        <w:spacing w:line="360" w:lineRule="auto"/>
        <w:jc w:val="both"/>
        <w:rPr>
          <w:rFonts w:ascii="Times New Roman" w:hAnsi="Times New Roman" w:cs="Times New Roman"/>
        </w:rPr>
      </w:pPr>
    </w:p>
    <w:p w14:paraId="1C636CB0" w14:textId="2D4D654B" w:rsidR="003F49A1" w:rsidRDefault="003F49A1" w:rsidP="00042AE1">
      <w:pPr>
        <w:spacing w:line="360" w:lineRule="auto"/>
        <w:jc w:val="both"/>
        <w:rPr>
          <w:rFonts w:ascii="Times New Roman" w:hAnsi="Times New Roman" w:cs="Times New Roman"/>
        </w:rPr>
      </w:pPr>
    </w:p>
    <w:p w14:paraId="0D33C16C" w14:textId="158FF12D" w:rsidR="003F49A1" w:rsidRDefault="003F49A1" w:rsidP="00042AE1">
      <w:pPr>
        <w:spacing w:line="360" w:lineRule="auto"/>
        <w:jc w:val="both"/>
        <w:rPr>
          <w:rFonts w:ascii="Times New Roman" w:hAnsi="Times New Roman" w:cs="Times New Roman"/>
        </w:rPr>
      </w:pPr>
    </w:p>
    <w:p w14:paraId="4E2413E1" w14:textId="591B71FB" w:rsidR="003F49A1" w:rsidRDefault="003F49A1" w:rsidP="00042AE1">
      <w:pPr>
        <w:spacing w:line="360" w:lineRule="auto"/>
        <w:jc w:val="both"/>
        <w:rPr>
          <w:rFonts w:ascii="Times New Roman" w:hAnsi="Times New Roman" w:cs="Times New Roman"/>
        </w:rPr>
      </w:pPr>
    </w:p>
    <w:p w14:paraId="0CF0A2D2" w14:textId="06A316B4" w:rsidR="003F49A1" w:rsidRDefault="003F49A1" w:rsidP="00042AE1">
      <w:pPr>
        <w:spacing w:line="360" w:lineRule="auto"/>
        <w:jc w:val="both"/>
        <w:rPr>
          <w:rFonts w:ascii="Times New Roman" w:hAnsi="Times New Roman" w:cs="Times New Roman"/>
        </w:rPr>
      </w:pPr>
    </w:p>
    <w:p w14:paraId="39AAA4A6" w14:textId="77777777" w:rsidR="003F49A1" w:rsidRPr="003F49A1" w:rsidRDefault="003F49A1" w:rsidP="00042AE1">
      <w:pPr>
        <w:spacing w:line="360" w:lineRule="auto"/>
        <w:jc w:val="both"/>
        <w:rPr>
          <w:rFonts w:ascii="Times New Roman" w:hAnsi="Times New Roman" w:cs="Times New Roman"/>
        </w:rPr>
      </w:pPr>
    </w:p>
    <w:p w14:paraId="0DBDDB9B" w14:textId="77777777" w:rsidR="00484FAE" w:rsidRDefault="00484FAE" w:rsidP="009E5F89">
      <w:pPr>
        <w:tabs>
          <w:tab w:val="left" w:pos="6690"/>
        </w:tabs>
        <w:jc w:val="center"/>
        <w:rPr>
          <w:rFonts w:ascii="Arial" w:hAnsi="Arial" w:cs="Arial"/>
          <w:b/>
          <w:noProof/>
          <w:sz w:val="18"/>
          <w:szCs w:val="18"/>
          <w:lang w:val="es-ES"/>
        </w:rPr>
      </w:pPr>
    </w:p>
    <w:p w14:paraId="479E88C6" w14:textId="77777777" w:rsidR="00484FAE" w:rsidRDefault="00484FAE" w:rsidP="009E5F89">
      <w:pPr>
        <w:tabs>
          <w:tab w:val="left" w:pos="6690"/>
        </w:tabs>
        <w:jc w:val="center"/>
        <w:rPr>
          <w:rFonts w:ascii="Arial" w:hAnsi="Arial" w:cs="Arial"/>
          <w:b/>
          <w:noProof/>
          <w:sz w:val="18"/>
          <w:szCs w:val="18"/>
          <w:lang w:val="es-ES"/>
        </w:rPr>
      </w:pPr>
    </w:p>
    <w:p w14:paraId="2CCF7317" w14:textId="72945248" w:rsidR="009E5F89" w:rsidRPr="003F49A1" w:rsidRDefault="009E5F89" w:rsidP="003F49A1">
      <w:pPr>
        <w:tabs>
          <w:tab w:val="left" w:pos="6690"/>
        </w:tabs>
        <w:jc w:val="center"/>
        <w:rPr>
          <w:rFonts w:ascii="Times New Roman" w:hAnsi="Times New Roman" w:cs="Times New Roman"/>
          <w:noProof/>
          <w:szCs w:val="20"/>
          <w:lang w:val="es-ES"/>
        </w:rPr>
      </w:pPr>
      <w:r w:rsidRPr="003F49A1">
        <w:rPr>
          <w:rFonts w:ascii="Times New Roman" w:hAnsi="Times New Roman" w:cs="Times New Roman"/>
          <w:b/>
          <w:noProof/>
          <w:szCs w:val="20"/>
          <w:lang w:val="es-ES"/>
        </w:rPr>
        <w:lastRenderedPageBreak/>
        <w:t>Tabla</w:t>
      </w:r>
      <w:r w:rsidR="00F86294" w:rsidRPr="003F49A1">
        <w:rPr>
          <w:rFonts w:ascii="Times New Roman" w:hAnsi="Times New Roman" w:cs="Times New Roman"/>
          <w:b/>
          <w:noProof/>
          <w:szCs w:val="20"/>
          <w:lang w:val="es-ES"/>
        </w:rPr>
        <w:t xml:space="preserve"> </w:t>
      </w:r>
      <w:r w:rsidR="0038106E" w:rsidRPr="003F49A1">
        <w:rPr>
          <w:rFonts w:ascii="Times New Roman" w:hAnsi="Times New Roman" w:cs="Times New Roman"/>
          <w:b/>
          <w:noProof/>
          <w:szCs w:val="20"/>
          <w:lang w:val="es-ES"/>
        </w:rPr>
        <w:t>2</w:t>
      </w:r>
      <w:r w:rsidR="003F49A1" w:rsidRPr="003F49A1">
        <w:rPr>
          <w:rFonts w:ascii="Times New Roman" w:hAnsi="Times New Roman" w:cs="Times New Roman"/>
          <w:b/>
          <w:noProof/>
          <w:szCs w:val="20"/>
          <w:lang w:val="es-ES"/>
        </w:rPr>
        <w:t>.</w:t>
      </w:r>
      <w:r w:rsidR="003F49A1" w:rsidRPr="003F49A1">
        <w:rPr>
          <w:rFonts w:ascii="Times New Roman" w:hAnsi="Times New Roman" w:cs="Times New Roman"/>
          <w:noProof/>
          <w:szCs w:val="20"/>
          <w:lang w:val="es-ES"/>
        </w:rPr>
        <w:t xml:space="preserve"> </w:t>
      </w:r>
      <w:r w:rsidRPr="003F49A1">
        <w:rPr>
          <w:rFonts w:ascii="Times New Roman" w:hAnsi="Times New Roman" w:cs="Times New Roman"/>
          <w:noProof/>
          <w:szCs w:val="20"/>
          <w:lang w:val="es-ES"/>
        </w:rPr>
        <w:t>Análisis de los factores internos que influyen en los pilares del índice de la economía del conocimiento del Banco Mundial</w:t>
      </w:r>
    </w:p>
    <w:p w14:paraId="4A6F988F" w14:textId="77777777" w:rsidR="006C458C" w:rsidRDefault="006C458C" w:rsidP="008B5056">
      <w:pPr>
        <w:tabs>
          <w:tab w:val="left" w:pos="6690"/>
        </w:tabs>
        <w:rPr>
          <w:rFonts w:ascii="Arial" w:hAnsi="Arial" w:cs="Arial"/>
          <w:b/>
          <w:noProof/>
          <w:sz w:val="18"/>
          <w:szCs w:val="18"/>
          <w:lang w:val="es-ES"/>
        </w:rPr>
      </w:pPr>
    </w:p>
    <w:tbl>
      <w:tblPr>
        <w:tblStyle w:val="Tablaconcuadrcula"/>
        <w:tblW w:w="7938" w:type="dxa"/>
        <w:tblInd w:w="534" w:type="dxa"/>
        <w:tblBorders>
          <w:top w:val="thinThickLargeGap" w:sz="24" w:space="0" w:color="000090"/>
          <w:left w:val="thinThickLargeGap" w:sz="24" w:space="0" w:color="000090"/>
          <w:bottom w:val="thinThickLargeGap" w:sz="24" w:space="0" w:color="000090"/>
          <w:right w:val="thinThickLargeGap" w:sz="24" w:space="0" w:color="000090"/>
          <w:insideH w:val="thinThickLargeGap" w:sz="24" w:space="0" w:color="000090"/>
          <w:insideV w:val="thinThickLargeGap" w:sz="24" w:space="0" w:color="000090"/>
        </w:tblBorders>
        <w:tblLook w:val="04A0" w:firstRow="1" w:lastRow="0" w:firstColumn="1" w:lastColumn="0" w:noHBand="0" w:noVBand="1"/>
      </w:tblPr>
      <w:tblGrid>
        <w:gridCol w:w="4252"/>
        <w:gridCol w:w="3686"/>
      </w:tblGrid>
      <w:tr w:rsidR="009E5F89" w14:paraId="1CCACD05" w14:textId="77777777" w:rsidTr="00F63331">
        <w:tc>
          <w:tcPr>
            <w:tcW w:w="7938" w:type="dxa"/>
            <w:gridSpan w:val="2"/>
            <w:shd w:val="clear" w:color="auto" w:fill="DAEEF3" w:themeFill="accent5" w:themeFillTint="33"/>
          </w:tcPr>
          <w:p w14:paraId="60364390" w14:textId="3946C7A7" w:rsidR="009E5F89" w:rsidRPr="00042AE1" w:rsidRDefault="009E5F89" w:rsidP="00042AE1">
            <w:pPr>
              <w:jc w:val="center"/>
              <w:rPr>
                <w:rFonts w:ascii="Arial" w:hAnsi="Arial"/>
                <w:b/>
                <w:color w:val="000090"/>
              </w:rPr>
            </w:pPr>
            <w:r w:rsidRPr="0073323E">
              <w:rPr>
                <w:rFonts w:ascii="Arial" w:hAnsi="Arial"/>
                <w:b/>
                <w:color w:val="000090"/>
              </w:rPr>
              <w:t>FACTORES INTERNOS</w:t>
            </w:r>
          </w:p>
        </w:tc>
      </w:tr>
      <w:tr w:rsidR="009E5F89" w:rsidRPr="0073323E" w14:paraId="611F41F5" w14:textId="77777777" w:rsidTr="00F63331">
        <w:tc>
          <w:tcPr>
            <w:tcW w:w="4252" w:type="dxa"/>
            <w:shd w:val="clear" w:color="auto" w:fill="auto"/>
          </w:tcPr>
          <w:p w14:paraId="3A919204" w14:textId="77777777" w:rsidR="009E5F89" w:rsidRPr="0073323E" w:rsidRDefault="009E5F89" w:rsidP="00F230E8">
            <w:pPr>
              <w:tabs>
                <w:tab w:val="left" w:pos="6690"/>
              </w:tabs>
              <w:spacing w:line="360" w:lineRule="auto"/>
              <w:jc w:val="center"/>
              <w:rPr>
                <w:rFonts w:ascii="Arial" w:hAnsi="Arial" w:cs="Arial"/>
                <w:b/>
                <w:color w:val="000090"/>
              </w:rPr>
            </w:pPr>
            <w:r w:rsidRPr="0073323E">
              <w:rPr>
                <w:rFonts w:ascii="Arial" w:hAnsi="Arial" w:cs="Arial"/>
                <w:b/>
                <w:color w:val="000090"/>
              </w:rPr>
              <w:t>Fortalezas</w:t>
            </w:r>
          </w:p>
          <w:p w14:paraId="7D9B72A6" w14:textId="77777777" w:rsidR="009E5F89" w:rsidRPr="0073323E" w:rsidRDefault="009E5F89" w:rsidP="009E5F89">
            <w:pPr>
              <w:tabs>
                <w:tab w:val="left" w:pos="6690"/>
              </w:tabs>
              <w:rPr>
                <w:rFonts w:ascii="Arial" w:hAnsi="Arial" w:cs="Arial"/>
                <w:b/>
              </w:rPr>
            </w:pPr>
            <w:r w:rsidRPr="0073323E">
              <w:rPr>
                <w:rFonts w:ascii="Arial" w:hAnsi="Arial" w:cs="Arial"/>
                <w:b/>
              </w:rPr>
              <w:t>1. Sistema Educativo.</w:t>
            </w:r>
          </w:p>
          <w:p w14:paraId="4F8A4A48" w14:textId="77777777" w:rsidR="009E5F89" w:rsidRPr="0073323E" w:rsidRDefault="009E5F89" w:rsidP="009E5F89">
            <w:pPr>
              <w:pStyle w:val="Prrafodelista"/>
              <w:numPr>
                <w:ilvl w:val="0"/>
                <w:numId w:val="11"/>
              </w:numPr>
              <w:tabs>
                <w:tab w:val="left" w:pos="6690"/>
              </w:tabs>
              <w:rPr>
                <w:rFonts w:ascii="Arial" w:hAnsi="Arial" w:cs="Arial"/>
              </w:rPr>
            </w:pPr>
            <w:r w:rsidRPr="0073323E">
              <w:rPr>
                <w:rFonts w:ascii="Arial" w:hAnsi="Arial" w:cs="Arial"/>
              </w:rPr>
              <w:t xml:space="preserve">El 94.5% de la población de15 años y más se encuentra alfabetizada. </w:t>
            </w:r>
            <w:r w:rsidRPr="00FB5E16">
              <w:rPr>
                <w:rFonts w:ascii="Arial" w:hAnsi="Arial" w:cs="Arial"/>
                <w:sz w:val="18"/>
                <w:szCs w:val="18"/>
              </w:rPr>
              <w:t>(INEGI,2015)</w:t>
            </w:r>
          </w:p>
          <w:p w14:paraId="07508F4A" w14:textId="77777777" w:rsidR="009E5F89" w:rsidRPr="0073323E" w:rsidRDefault="009E5F89" w:rsidP="009E5F89">
            <w:pPr>
              <w:pStyle w:val="Prrafodelista"/>
              <w:numPr>
                <w:ilvl w:val="0"/>
                <w:numId w:val="11"/>
              </w:numPr>
              <w:tabs>
                <w:tab w:val="left" w:pos="6690"/>
              </w:tabs>
              <w:jc w:val="both"/>
              <w:rPr>
                <w:rFonts w:ascii="Arial" w:hAnsi="Arial" w:cs="Arial"/>
              </w:rPr>
            </w:pPr>
            <w:r w:rsidRPr="0073323E">
              <w:rPr>
                <w:rFonts w:ascii="Arial" w:hAnsi="Arial" w:cs="Arial"/>
              </w:rPr>
              <w:t xml:space="preserve">El 2.5% de la población menor de 12 años y mayor de 18, representa la tasa de matriculación en secundaria. </w:t>
            </w:r>
            <w:r w:rsidRPr="00FB5E16">
              <w:rPr>
                <w:rFonts w:ascii="Arial" w:hAnsi="Arial" w:cs="Arial"/>
                <w:sz w:val="18"/>
                <w:szCs w:val="18"/>
              </w:rPr>
              <w:t>(INEGI,2015)</w:t>
            </w:r>
          </w:p>
          <w:p w14:paraId="3895C946" w14:textId="77777777" w:rsidR="009E5F89" w:rsidRPr="00FB5E16" w:rsidRDefault="009E5F89" w:rsidP="009E5F89">
            <w:pPr>
              <w:pStyle w:val="Prrafodelista"/>
              <w:numPr>
                <w:ilvl w:val="0"/>
                <w:numId w:val="11"/>
              </w:numPr>
              <w:tabs>
                <w:tab w:val="left" w:pos="6690"/>
              </w:tabs>
              <w:jc w:val="both"/>
              <w:rPr>
                <w:rFonts w:ascii="Arial" w:hAnsi="Arial" w:cs="Arial"/>
                <w:sz w:val="18"/>
                <w:szCs w:val="18"/>
              </w:rPr>
            </w:pPr>
            <w:r w:rsidRPr="0073323E">
              <w:rPr>
                <w:rFonts w:ascii="Arial" w:hAnsi="Arial" w:cs="Arial"/>
              </w:rPr>
              <w:t xml:space="preserve"> Más de 3 millones de estudiantes forman parte de la matrícula en educación terciaria. </w:t>
            </w:r>
            <w:r w:rsidRPr="00FB5E16">
              <w:rPr>
                <w:rFonts w:ascii="Arial" w:hAnsi="Arial" w:cs="Arial"/>
                <w:sz w:val="18"/>
                <w:szCs w:val="18"/>
              </w:rPr>
              <w:t>(INEGI,2015)</w:t>
            </w:r>
          </w:p>
          <w:p w14:paraId="65574F87" w14:textId="77777777" w:rsidR="009E5F89" w:rsidRPr="0073323E" w:rsidRDefault="009E5F89" w:rsidP="009E5F89">
            <w:pPr>
              <w:tabs>
                <w:tab w:val="left" w:pos="6690"/>
              </w:tabs>
              <w:rPr>
                <w:rFonts w:ascii="Arial" w:hAnsi="Arial" w:cs="Arial"/>
                <w:b/>
              </w:rPr>
            </w:pPr>
            <w:r w:rsidRPr="0073323E">
              <w:rPr>
                <w:rFonts w:ascii="Arial" w:hAnsi="Arial" w:cs="Arial"/>
                <w:b/>
              </w:rPr>
              <w:t>2. Sistema de Innovación.</w:t>
            </w:r>
          </w:p>
          <w:p w14:paraId="6192EAB9" w14:textId="77777777" w:rsidR="009E5F89" w:rsidRPr="0073323E" w:rsidRDefault="009E5F89" w:rsidP="009E5F89">
            <w:pPr>
              <w:pStyle w:val="Prrafodelista"/>
              <w:numPr>
                <w:ilvl w:val="0"/>
                <w:numId w:val="9"/>
              </w:numPr>
              <w:tabs>
                <w:tab w:val="left" w:pos="6690"/>
              </w:tabs>
              <w:jc w:val="both"/>
              <w:rPr>
                <w:rFonts w:ascii="Arial" w:hAnsi="Arial" w:cs="Arial"/>
              </w:rPr>
            </w:pPr>
            <w:r w:rsidRPr="0073323E">
              <w:rPr>
                <w:rFonts w:ascii="Arial" w:hAnsi="Arial" w:cs="Arial"/>
              </w:rPr>
              <w:t>1,876 patentes (titulares) y 2,391 (inventores).</w:t>
            </w:r>
            <w:r>
              <w:rPr>
                <w:rFonts w:ascii="Arial" w:hAnsi="Arial" w:cs="Arial"/>
              </w:rPr>
              <w:t xml:space="preserve"> </w:t>
            </w:r>
            <w:r w:rsidRPr="00F85A40">
              <w:rPr>
                <w:rFonts w:ascii="Arial" w:hAnsi="Arial" w:cs="Arial"/>
                <w:sz w:val="18"/>
                <w:szCs w:val="18"/>
              </w:rPr>
              <w:t>(Ricyt,2016)</w:t>
            </w:r>
          </w:p>
          <w:p w14:paraId="5C439EA3" w14:textId="77777777" w:rsidR="009E5F89" w:rsidRPr="0073323E" w:rsidRDefault="009E5F89" w:rsidP="009E5F89">
            <w:pPr>
              <w:pStyle w:val="Prrafodelista"/>
              <w:numPr>
                <w:ilvl w:val="0"/>
                <w:numId w:val="9"/>
              </w:numPr>
              <w:tabs>
                <w:tab w:val="left" w:pos="6690"/>
              </w:tabs>
              <w:jc w:val="both"/>
              <w:rPr>
                <w:rFonts w:ascii="Arial" w:hAnsi="Arial" w:cs="Arial"/>
              </w:rPr>
            </w:pPr>
            <w:r>
              <w:rPr>
                <w:rFonts w:ascii="Arial" w:hAnsi="Arial" w:cs="Arial"/>
              </w:rPr>
              <w:t xml:space="preserve">México cuenta con </w:t>
            </w:r>
            <w:r w:rsidRPr="0073323E">
              <w:rPr>
                <w:rFonts w:ascii="Arial" w:hAnsi="Arial" w:cs="Arial"/>
              </w:rPr>
              <w:t>políticas e instrumentos de ciencia, tecnología e innovación.</w:t>
            </w:r>
          </w:p>
          <w:p w14:paraId="2929AE7B" w14:textId="77777777" w:rsidR="009E5F89" w:rsidRPr="0073323E" w:rsidRDefault="009E5F89" w:rsidP="009E5F89">
            <w:pPr>
              <w:pStyle w:val="Prrafodelista"/>
              <w:numPr>
                <w:ilvl w:val="0"/>
                <w:numId w:val="9"/>
              </w:numPr>
              <w:tabs>
                <w:tab w:val="left" w:pos="6690"/>
              </w:tabs>
              <w:jc w:val="both"/>
              <w:rPr>
                <w:rFonts w:ascii="Arial" w:hAnsi="Arial" w:cs="Arial"/>
              </w:rPr>
            </w:pPr>
            <w:r w:rsidRPr="0073323E">
              <w:rPr>
                <w:rFonts w:ascii="Arial" w:hAnsi="Arial" w:cs="Arial"/>
              </w:rPr>
              <w:t>Por cada millón de habitantes se publican 11.89  papers en Science Citation Index (SCI), 16.38 en ESCOPUS y 1.17 en PASCAL.</w:t>
            </w:r>
          </w:p>
          <w:p w14:paraId="3F17614D" w14:textId="77777777" w:rsidR="009E5F89" w:rsidRPr="0073323E" w:rsidRDefault="009E5F89" w:rsidP="009E5F89">
            <w:pPr>
              <w:tabs>
                <w:tab w:val="right" w:pos="6730"/>
              </w:tabs>
              <w:rPr>
                <w:rFonts w:ascii="Arial" w:hAnsi="Arial" w:cs="Arial"/>
                <w:b/>
              </w:rPr>
            </w:pPr>
            <w:r w:rsidRPr="0073323E">
              <w:rPr>
                <w:rFonts w:ascii="Arial" w:hAnsi="Arial" w:cs="Arial"/>
                <w:b/>
              </w:rPr>
              <w:t>3. Régimen económico e institucional.</w:t>
            </w:r>
            <w:r w:rsidRPr="0073323E">
              <w:rPr>
                <w:rFonts w:ascii="Arial" w:hAnsi="Arial" w:cs="Arial"/>
                <w:b/>
              </w:rPr>
              <w:tab/>
            </w:r>
          </w:p>
          <w:p w14:paraId="7EFC9EC9" w14:textId="77777777" w:rsidR="009E5F89" w:rsidRPr="0073323E" w:rsidRDefault="009E5F89" w:rsidP="009E5F89">
            <w:pPr>
              <w:pStyle w:val="Prrafodelista"/>
              <w:numPr>
                <w:ilvl w:val="0"/>
                <w:numId w:val="12"/>
              </w:numPr>
              <w:tabs>
                <w:tab w:val="left" w:pos="6690"/>
              </w:tabs>
              <w:jc w:val="both"/>
              <w:rPr>
                <w:rFonts w:ascii="Arial" w:hAnsi="Arial" w:cs="Arial"/>
              </w:rPr>
            </w:pPr>
            <w:r w:rsidRPr="0073323E">
              <w:rPr>
                <w:rFonts w:ascii="Arial" w:hAnsi="Arial" w:cs="Arial"/>
              </w:rPr>
              <w:t>Implementación de 21 reformas que facilita a los empresarios hacer negocios</w:t>
            </w:r>
            <w:r>
              <w:rPr>
                <w:rFonts w:ascii="Arial" w:hAnsi="Arial" w:cs="Arial"/>
              </w:rPr>
              <w:t>.</w:t>
            </w:r>
            <w:r w:rsidRPr="0073323E">
              <w:rPr>
                <w:rFonts w:ascii="Arial" w:hAnsi="Arial" w:cs="Arial"/>
              </w:rPr>
              <w:t xml:space="preserve"> </w:t>
            </w:r>
            <w:r w:rsidRPr="00F85A40">
              <w:rPr>
                <w:rFonts w:ascii="Arial" w:hAnsi="Arial" w:cs="Arial"/>
                <w:sz w:val="18"/>
                <w:szCs w:val="18"/>
              </w:rPr>
              <w:t>(BM,2014)</w:t>
            </w:r>
          </w:p>
          <w:p w14:paraId="3C6480BA" w14:textId="77777777" w:rsidR="009E5F89" w:rsidRPr="0073323E" w:rsidRDefault="009E5F89" w:rsidP="009E5F89">
            <w:pPr>
              <w:tabs>
                <w:tab w:val="left" w:pos="6690"/>
              </w:tabs>
              <w:rPr>
                <w:rFonts w:ascii="Arial" w:hAnsi="Arial" w:cs="Arial"/>
                <w:b/>
              </w:rPr>
            </w:pPr>
            <w:r w:rsidRPr="0073323E">
              <w:rPr>
                <w:rFonts w:ascii="Arial" w:hAnsi="Arial" w:cs="Arial"/>
                <w:b/>
              </w:rPr>
              <w:t>4.  Infraestructura de Información.</w:t>
            </w:r>
          </w:p>
          <w:p w14:paraId="76AB3536" w14:textId="77777777" w:rsidR="009E5F89" w:rsidRPr="0073323E" w:rsidRDefault="009E5F89" w:rsidP="009E5F89">
            <w:pPr>
              <w:pStyle w:val="Prrafodelista"/>
              <w:numPr>
                <w:ilvl w:val="0"/>
                <w:numId w:val="7"/>
              </w:numPr>
              <w:tabs>
                <w:tab w:val="left" w:pos="6690"/>
              </w:tabs>
              <w:jc w:val="both"/>
              <w:rPr>
                <w:rFonts w:ascii="Arial" w:hAnsi="Arial" w:cs="Arial"/>
              </w:rPr>
            </w:pPr>
            <w:r w:rsidRPr="0073323E">
              <w:rPr>
                <w:rFonts w:ascii="Arial" w:hAnsi="Arial" w:cs="Arial"/>
              </w:rPr>
              <w:t xml:space="preserve">17. 9 líneas telefónicas y 86.9 móviles por cada 100 habitantes. </w:t>
            </w:r>
            <w:r w:rsidRPr="00F85A40">
              <w:rPr>
                <w:rFonts w:ascii="Arial" w:hAnsi="Arial" w:cs="Arial"/>
                <w:sz w:val="18"/>
                <w:szCs w:val="18"/>
              </w:rPr>
              <w:t>(Cofetel,2012)</w:t>
            </w:r>
          </w:p>
          <w:p w14:paraId="21254A10" w14:textId="77777777" w:rsidR="009E5F89" w:rsidRPr="0073323E" w:rsidRDefault="009E5F89" w:rsidP="009E5F89">
            <w:pPr>
              <w:pStyle w:val="Prrafodelista"/>
              <w:numPr>
                <w:ilvl w:val="0"/>
                <w:numId w:val="7"/>
              </w:numPr>
              <w:tabs>
                <w:tab w:val="left" w:pos="6690"/>
              </w:tabs>
              <w:rPr>
                <w:rFonts w:ascii="Arial" w:hAnsi="Arial" w:cs="Arial"/>
              </w:rPr>
            </w:pPr>
            <w:r w:rsidRPr="0073323E">
              <w:rPr>
                <w:rFonts w:ascii="Arial" w:hAnsi="Arial" w:cs="Arial"/>
              </w:rPr>
              <w:t xml:space="preserve">El 36.9% de hogares dispone de telefonía fija, el 78.6% de celulares, el 32.9% de Internet y el 32.6% de computadoras. </w:t>
            </w:r>
            <w:r w:rsidRPr="00F85A40">
              <w:rPr>
                <w:rFonts w:ascii="Arial" w:hAnsi="Arial" w:cs="Arial"/>
                <w:sz w:val="18"/>
                <w:szCs w:val="18"/>
              </w:rPr>
              <w:t>(INEGI,2015)</w:t>
            </w:r>
          </w:p>
        </w:tc>
        <w:tc>
          <w:tcPr>
            <w:tcW w:w="3686" w:type="dxa"/>
            <w:shd w:val="clear" w:color="auto" w:fill="auto"/>
          </w:tcPr>
          <w:p w14:paraId="713E9709" w14:textId="77777777" w:rsidR="009E5F89" w:rsidRPr="0073323E" w:rsidRDefault="009E5F89" w:rsidP="00F230E8">
            <w:pPr>
              <w:tabs>
                <w:tab w:val="left" w:pos="6690"/>
              </w:tabs>
              <w:spacing w:line="360" w:lineRule="auto"/>
              <w:jc w:val="center"/>
              <w:rPr>
                <w:rFonts w:ascii="Arial" w:hAnsi="Arial" w:cs="Arial"/>
                <w:b/>
                <w:color w:val="000090"/>
              </w:rPr>
            </w:pPr>
            <w:r w:rsidRPr="0073323E">
              <w:rPr>
                <w:rFonts w:ascii="Arial" w:hAnsi="Arial" w:cs="Arial"/>
                <w:b/>
                <w:color w:val="000090"/>
              </w:rPr>
              <w:t>Debilidades</w:t>
            </w:r>
          </w:p>
          <w:p w14:paraId="0935238B" w14:textId="77777777" w:rsidR="009E5F89" w:rsidRPr="0073323E" w:rsidRDefault="009E5F89" w:rsidP="009E5F89">
            <w:pPr>
              <w:tabs>
                <w:tab w:val="left" w:pos="6690"/>
              </w:tabs>
              <w:rPr>
                <w:rFonts w:ascii="Arial" w:hAnsi="Arial" w:cs="Arial"/>
                <w:b/>
              </w:rPr>
            </w:pPr>
            <w:r w:rsidRPr="0073323E">
              <w:rPr>
                <w:rFonts w:ascii="Arial" w:hAnsi="Arial" w:cs="Arial"/>
                <w:b/>
              </w:rPr>
              <w:t>1. Sistema Educativo.</w:t>
            </w:r>
          </w:p>
          <w:p w14:paraId="56A134EE" w14:textId="77777777" w:rsidR="009E5F89" w:rsidRPr="0047046E" w:rsidRDefault="009E5F89" w:rsidP="009E5F89">
            <w:pPr>
              <w:pStyle w:val="Prrafodelista"/>
              <w:numPr>
                <w:ilvl w:val="0"/>
                <w:numId w:val="11"/>
              </w:numPr>
              <w:tabs>
                <w:tab w:val="left" w:pos="6690"/>
              </w:tabs>
              <w:rPr>
                <w:rFonts w:ascii="Arial" w:hAnsi="Arial" w:cs="Arial"/>
              </w:rPr>
            </w:pPr>
            <w:r w:rsidRPr="0073323E">
              <w:rPr>
                <w:rFonts w:ascii="Arial" w:hAnsi="Arial" w:cs="Arial"/>
              </w:rPr>
              <w:t xml:space="preserve">Más de 4 millones de personas de 15 años y más son analfabetas 5.5% de la población. </w:t>
            </w:r>
            <w:r w:rsidRPr="00FB5E16">
              <w:rPr>
                <w:rFonts w:ascii="Arial" w:hAnsi="Arial" w:cs="Arial"/>
                <w:sz w:val="18"/>
                <w:szCs w:val="18"/>
              </w:rPr>
              <w:t>(INEGI,2015)</w:t>
            </w:r>
            <w:r w:rsidRPr="0073323E">
              <w:rPr>
                <w:rFonts w:ascii="Arial" w:hAnsi="Arial" w:cs="Arial"/>
                <w:b/>
                <w:color w:val="000090"/>
              </w:rPr>
              <w:tab/>
            </w:r>
          </w:p>
          <w:p w14:paraId="01787976" w14:textId="77777777" w:rsidR="009E5F89" w:rsidRPr="0073323E" w:rsidRDefault="009E5F89" w:rsidP="009E5F89">
            <w:pPr>
              <w:tabs>
                <w:tab w:val="left" w:pos="6690"/>
              </w:tabs>
              <w:rPr>
                <w:rFonts w:ascii="Arial" w:hAnsi="Arial" w:cs="Arial"/>
                <w:b/>
              </w:rPr>
            </w:pPr>
            <w:r w:rsidRPr="0073323E">
              <w:rPr>
                <w:rFonts w:ascii="Arial" w:hAnsi="Arial" w:cs="Arial"/>
                <w:b/>
              </w:rPr>
              <w:t>2. Sistema de Innovación.</w:t>
            </w:r>
          </w:p>
          <w:p w14:paraId="05D86608" w14:textId="77777777" w:rsidR="009E5F89" w:rsidRPr="0073323E" w:rsidRDefault="009E5F89" w:rsidP="009E5F89">
            <w:pPr>
              <w:pStyle w:val="Prrafodelista"/>
              <w:numPr>
                <w:ilvl w:val="0"/>
                <w:numId w:val="10"/>
              </w:numPr>
              <w:tabs>
                <w:tab w:val="left" w:pos="6690"/>
              </w:tabs>
              <w:jc w:val="both"/>
              <w:rPr>
                <w:rFonts w:ascii="Arial" w:hAnsi="Arial" w:cs="Arial"/>
              </w:rPr>
            </w:pPr>
            <w:r w:rsidRPr="0073323E">
              <w:rPr>
                <w:rFonts w:ascii="Arial" w:hAnsi="Arial" w:cs="Arial"/>
              </w:rPr>
              <w:t>Por cada 1.7  inventores las patentes superan a los titulares, con la imposibilidad de que empresas locales se apropien de la invención.</w:t>
            </w:r>
          </w:p>
          <w:p w14:paraId="59CF034B" w14:textId="77777777" w:rsidR="009E5F89" w:rsidRPr="0073323E" w:rsidRDefault="009E5F89" w:rsidP="009E5F89">
            <w:pPr>
              <w:pStyle w:val="Prrafodelista"/>
              <w:numPr>
                <w:ilvl w:val="0"/>
                <w:numId w:val="10"/>
              </w:numPr>
              <w:tabs>
                <w:tab w:val="left" w:pos="6690"/>
              </w:tabs>
              <w:jc w:val="both"/>
              <w:rPr>
                <w:rFonts w:ascii="Arial" w:hAnsi="Arial" w:cs="Arial"/>
              </w:rPr>
            </w:pPr>
            <w:r w:rsidRPr="0073323E">
              <w:rPr>
                <w:rFonts w:ascii="Arial" w:hAnsi="Arial" w:cs="Arial"/>
              </w:rPr>
              <w:t>Del 10.6% del total de patentes a nivel global en 2015, México es titular 462 en la industria farmacéutica y cosmética. (impacto bajo)</w:t>
            </w:r>
          </w:p>
          <w:p w14:paraId="75BE3708" w14:textId="77777777" w:rsidR="009E5F89" w:rsidRDefault="009E5F89" w:rsidP="009E5F89">
            <w:pPr>
              <w:pStyle w:val="Prrafodelista"/>
              <w:numPr>
                <w:ilvl w:val="0"/>
                <w:numId w:val="10"/>
              </w:numPr>
              <w:tabs>
                <w:tab w:val="left" w:pos="6690"/>
              </w:tabs>
              <w:jc w:val="both"/>
              <w:rPr>
                <w:rFonts w:ascii="Arial" w:hAnsi="Arial" w:cs="Arial"/>
              </w:rPr>
            </w:pPr>
            <w:r w:rsidRPr="0073323E">
              <w:rPr>
                <w:rFonts w:ascii="Arial" w:hAnsi="Arial" w:cs="Arial"/>
              </w:rPr>
              <w:t>Del 5.2% del total de patentes a nivel global en 2015, México es titular 139 en la industria farmacéutica activos terapéuticos. (impacto bajo)</w:t>
            </w:r>
          </w:p>
          <w:p w14:paraId="7391E792" w14:textId="77777777" w:rsidR="009E5F89" w:rsidRPr="0073323E" w:rsidRDefault="009E5F89" w:rsidP="009E5F89">
            <w:pPr>
              <w:tabs>
                <w:tab w:val="left" w:pos="6690"/>
              </w:tabs>
              <w:rPr>
                <w:rFonts w:ascii="Arial" w:hAnsi="Arial" w:cs="Arial"/>
                <w:b/>
              </w:rPr>
            </w:pPr>
            <w:r w:rsidRPr="0073323E">
              <w:rPr>
                <w:rFonts w:ascii="Arial" w:hAnsi="Arial" w:cs="Arial"/>
                <w:b/>
              </w:rPr>
              <w:t>3. Régimen económico e institucional.</w:t>
            </w:r>
          </w:p>
          <w:p w14:paraId="3F6DBE15" w14:textId="77777777" w:rsidR="009E5F89" w:rsidRPr="0073323E" w:rsidRDefault="009E5F89" w:rsidP="009E5F89">
            <w:pPr>
              <w:pStyle w:val="Prrafodelista"/>
              <w:numPr>
                <w:ilvl w:val="0"/>
                <w:numId w:val="8"/>
              </w:numPr>
              <w:tabs>
                <w:tab w:val="left" w:pos="6690"/>
              </w:tabs>
              <w:jc w:val="both"/>
              <w:rPr>
                <w:rFonts w:ascii="Arial" w:hAnsi="Arial" w:cs="Arial"/>
              </w:rPr>
            </w:pPr>
            <w:r w:rsidRPr="0073323E">
              <w:rPr>
                <w:rFonts w:ascii="Arial" w:hAnsi="Arial" w:cs="Arial"/>
              </w:rPr>
              <w:t>El 67.7% de la población considera que en términos de delincuencia, la ciudad es insegura.</w:t>
            </w:r>
          </w:p>
          <w:p w14:paraId="7021F0C9" w14:textId="77777777" w:rsidR="009E5F89" w:rsidRPr="0073323E" w:rsidRDefault="009E5F89" w:rsidP="009E5F89">
            <w:pPr>
              <w:pStyle w:val="Prrafodelista"/>
              <w:numPr>
                <w:ilvl w:val="0"/>
                <w:numId w:val="8"/>
              </w:numPr>
              <w:tabs>
                <w:tab w:val="left" w:pos="6690"/>
              </w:tabs>
              <w:jc w:val="both"/>
              <w:rPr>
                <w:rFonts w:ascii="Arial" w:hAnsi="Arial" w:cs="Arial"/>
              </w:rPr>
            </w:pPr>
            <w:r w:rsidRPr="0073323E">
              <w:rPr>
                <w:rFonts w:ascii="Arial" w:hAnsi="Arial" w:cs="Arial"/>
              </w:rPr>
              <w:t xml:space="preserve">La recaudación proveniente de comercio exterior tuvo un decremento del 1,71% derivado de la contratación de IEPS. </w:t>
            </w:r>
            <w:r w:rsidRPr="00F85A40">
              <w:rPr>
                <w:rFonts w:ascii="Arial" w:hAnsi="Arial" w:cs="Arial"/>
                <w:sz w:val="18"/>
                <w:szCs w:val="18"/>
              </w:rPr>
              <w:t>(SAT,2016)</w:t>
            </w:r>
          </w:p>
        </w:tc>
      </w:tr>
    </w:tbl>
    <w:p w14:paraId="40ACC310" w14:textId="5C0F3936" w:rsidR="00A1365B" w:rsidRPr="003F49A1" w:rsidRDefault="000421DC" w:rsidP="002A5C63">
      <w:pPr>
        <w:tabs>
          <w:tab w:val="left" w:pos="6690"/>
        </w:tabs>
        <w:spacing w:line="360" w:lineRule="auto"/>
        <w:jc w:val="both"/>
        <w:rPr>
          <w:rFonts w:ascii="Times New Roman" w:hAnsi="Times New Roman" w:cs="Times New Roman"/>
          <w:noProof/>
          <w:lang w:val="es-ES"/>
        </w:rPr>
      </w:pPr>
      <w:r w:rsidRPr="003F49A1">
        <w:rPr>
          <w:rFonts w:ascii="Times New Roman" w:hAnsi="Times New Roman" w:cs="Times New Roman"/>
          <w:noProof/>
          <w:lang w:val="es-ES"/>
        </w:rPr>
        <w:lastRenderedPageBreak/>
        <w:t>Asimismo, con los datos obtenidos en las tablas uno y do</w:t>
      </w:r>
      <w:r w:rsidR="00A1365B" w:rsidRPr="003F49A1">
        <w:rPr>
          <w:rFonts w:ascii="Times New Roman" w:hAnsi="Times New Roman" w:cs="Times New Roman"/>
          <w:noProof/>
          <w:lang w:val="es-ES"/>
        </w:rPr>
        <w:t>s se formularon diversas estrategias que sirven de alternativa para mejorar la eco</w:t>
      </w:r>
      <w:r w:rsidR="000B2AF1" w:rsidRPr="003F49A1">
        <w:rPr>
          <w:rFonts w:ascii="Times New Roman" w:hAnsi="Times New Roman" w:cs="Times New Roman"/>
          <w:noProof/>
          <w:lang w:val="es-ES"/>
        </w:rPr>
        <w:t>nomía del conocimiento</w:t>
      </w:r>
      <w:r w:rsidR="00A1365B" w:rsidRPr="003F49A1">
        <w:rPr>
          <w:rFonts w:ascii="Times New Roman" w:hAnsi="Times New Roman" w:cs="Times New Roman"/>
          <w:noProof/>
          <w:lang w:val="es-ES"/>
        </w:rPr>
        <w:t xml:space="preserve">. La primera propuesta se dirige a maximizar tanto las fortalezas como </w:t>
      </w:r>
      <w:r w:rsidR="00C8058F" w:rsidRPr="003F49A1">
        <w:rPr>
          <w:rFonts w:ascii="Times New Roman" w:hAnsi="Times New Roman" w:cs="Times New Roman"/>
          <w:noProof/>
          <w:lang w:val="es-ES"/>
        </w:rPr>
        <w:t>las oportunidades, es decir, destacar la posición</w:t>
      </w:r>
      <w:r w:rsidR="00E81374" w:rsidRPr="003F49A1">
        <w:rPr>
          <w:rFonts w:ascii="Times New Roman" w:hAnsi="Times New Roman" w:cs="Times New Roman"/>
          <w:noProof/>
          <w:lang w:val="es-ES"/>
        </w:rPr>
        <w:t xml:space="preserve"> que tiene México</w:t>
      </w:r>
      <w:r w:rsidR="00C8058F" w:rsidRPr="003F49A1">
        <w:rPr>
          <w:rFonts w:ascii="Times New Roman" w:hAnsi="Times New Roman" w:cs="Times New Roman"/>
          <w:noProof/>
          <w:lang w:val="es-ES"/>
        </w:rPr>
        <w:t xml:space="preserve"> en la economía del conocimiento</w:t>
      </w:r>
      <w:r w:rsidR="0017704B" w:rsidRPr="003F49A1">
        <w:rPr>
          <w:rFonts w:ascii="Times New Roman" w:hAnsi="Times New Roman" w:cs="Times New Roman"/>
          <w:noProof/>
          <w:lang w:val="es-ES"/>
        </w:rPr>
        <w:t xml:space="preserve"> respecto a los países de América Latina.</w:t>
      </w:r>
      <w:r w:rsidR="00DF42CC" w:rsidRPr="003F49A1">
        <w:rPr>
          <w:rFonts w:ascii="Times New Roman" w:hAnsi="Times New Roman" w:cs="Times New Roman"/>
          <w:noProof/>
          <w:lang w:val="es-ES"/>
        </w:rPr>
        <w:t xml:space="preserve"> En la segunda se enfoca a maximizar las fortale</w:t>
      </w:r>
      <w:r w:rsidR="00AB1296" w:rsidRPr="003F49A1">
        <w:rPr>
          <w:rFonts w:ascii="Times New Roman" w:hAnsi="Times New Roman" w:cs="Times New Roman"/>
          <w:noProof/>
          <w:lang w:val="es-ES"/>
        </w:rPr>
        <w:t>zas para minimizar las amanazas, como se muestra en la tabla número tres.</w:t>
      </w:r>
    </w:p>
    <w:p w14:paraId="5BEA3074" w14:textId="19520AA3" w:rsidR="00304777" w:rsidRPr="00AB1296" w:rsidRDefault="00304777" w:rsidP="00AB1296">
      <w:pPr>
        <w:tabs>
          <w:tab w:val="left" w:pos="6690"/>
        </w:tabs>
        <w:jc w:val="both"/>
        <w:rPr>
          <w:rFonts w:ascii="Arial" w:hAnsi="Arial" w:cs="Arial"/>
          <w:noProof/>
          <w:lang w:val="es-ES"/>
        </w:rPr>
      </w:pPr>
    </w:p>
    <w:p w14:paraId="41278BC9" w14:textId="3DEDCB1B" w:rsidR="00DD1303" w:rsidRPr="003F49A1" w:rsidRDefault="00DD1303" w:rsidP="003F49A1">
      <w:pPr>
        <w:tabs>
          <w:tab w:val="left" w:pos="6690"/>
        </w:tabs>
        <w:jc w:val="center"/>
        <w:rPr>
          <w:rFonts w:ascii="Times New Roman" w:hAnsi="Times New Roman" w:cs="Times New Roman"/>
          <w:noProof/>
          <w:sz w:val="20"/>
          <w:szCs w:val="20"/>
          <w:lang w:val="es-ES"/>
        </w:rPr>
      </w:pPr>
      <w:r w:rsidRPr="003F49A1">
        <w:rPr>
          <w:rFonts w:ascii="Times New Roman" w:hAnsi="Times New Roman" w:cs="Times New Roman"/>
          <w:b/>
          <w:noProof/>
          <w:szCs w:val="20"/>
          <w:lang w:val="es-ES"/>
        </w:rPr>
        <w:t>Tabla</w:t>
      </w:r>
      <w:r w:rsidR="00C77BA4" w:rsidRPr="003F49A1">
        <w:rPr>
          <w:rFonts w:ascii="Times New Roman" w:hAnsi="Times New Roman" w:cs="Times New Roman"/>
          <w:b/>
          <w:noProof/>
          <w:szCs w:val="20"/>
          <w:lang w:val="es-ES"/>
        </w:rPr>
        <w:t xml:space="preserve"> </w:t>
      </w:r>
      <w:r w:rsidRPr="003F49A1">
        <w:rPr>
          <w:rFonts w:ascii="Times New Roman" w:hAnsi="Times New Roman" w:cs="Times New Roman"/>
          <w:b/>
          <w:noProof/>
          <w:szCs w:val="20"/>
          <w:lang w:val="es-ES"/>
        </w:rPr>
        <w:t>3</w:t>
      </w:r>
      <w:r w:rsidR="003F49A1" w:rsidRPr="003F49A1">
        <w:rPr>
          <w:rFonts w:ascii="Times New Roman" w:hAnsi="Times New Roman" w:cs="Times New Roman"/>
          <w:b/>
          <w:noProof/>
          <w:szCs w:val="20"/>
          <w:lang w:val="es-ES"/>
        </w:rPr>
        <w:t>.</w:t>
      </w:r>
      <w:r w:rsidR="003F49A1" w:rsidRPr="003F49A1">
        <w:rPr>
          <w:rFonts w:ascii="Times New Roman" w:hAnsi="Times New Roman" w:cs="Times New Roman"/>
          <w:noProof/>
          <w:szCs w:val="20"/>
          <w:lang w:val="es-ES"/>
        </w:rPr>
        <w:t xml:space="preserve"> </w:t>
      </w:r>
      <w:r w:rsidR="00310E50" w:rsidRPr="003F49A1">
        <w:rPr>
          <w:rFonts w:ascii="Times New Roman" w:hAnsi="Times New Roman" w:cs="Times New Roman"/>
          <w:noProof/>
          <w:szCs w:val="20"/>
          <w:lang w:val="es-ES"/>
        </w:rPr>
        <w:t>Matriz de estrategia</w:t>
      </w:r>
      <w:r w:rsidRPr="003F49A1">
        <w:rPr>
          <w:rFonts w:ascii="Times New Roman" w:hAnsi="Times New Roman" w:cs="Times New Roman"/>
          <w:noProof/>
          <w:szCs w:val="20"/>
          <w:lang w:val="es-ES"/>
        </w:rPr>
        <w:t xml:space="preserve"> </w:t>
      </w:r>
      <w:r w:rsidR="00171AEF" w:rsidRPr="003F49A1">
        <w:rPr>
          <w:rFonts w:ascii="Times New Roman" w:hAnsi="Times New Roman" w:cs="Times New Roman"/>
          <w:noProof/>
          <w:szCs w:val="20"/>
          <w:lang w:val="es-ES"/>
        </w:rPr>
        <w:t>FODA</w:t>
      </w:r>
      <w:r w:rsidR="00A07FCB" w:rsidRPr="003F49A1">
        <w:rPr>
          <w:rFonts w:ascii="Times New Roman" w:hAnsi="Times New Roman" w:cs="Times New Roman"/>
          <w:noProof/>
          <w:szCs w:val="20"/>
          <w:lang w:val="es-ES"/>
        </w:rPr>
        <w:t>, respecto a</w:t>
      </w:r>
      <w:r w:rsidR="00171AEF" w:rsidRPr="003F49A1">
        <w:rPr>
          <w:rFonts w:ascii="Times New Roman" w:hAnsi="Times New Roman" w:cs="Times New Roman"/>
          <w:noProof/>
          <w:szCs w:val="20"/>
          <w:lang w:val="es-ES"/>
        </w:rPr>
        <w:t xml:space="preserve"> </w:t>
      </w:r>
      <w:r w:rsidR="00A07FCB" w:rsidRPr="003F49A1">
        <w:rPr>
          <w:rFonts w:ascii="Times New Roman" w:hAnsi="Times New Roman" w:cs="Times New Roman"/>
          <w:noProof/>
          <w:szCs w:val="20"/>
          <w:lang w:val="es-ES"/>
        </w:rPr>
        <w:t xml:space="preserve">las </w:t>
      </w:r>
      <w:r w:rsidR="000768D0" w:rsidRPr="003F49A1">
        <w:rPr>
          <w:rFonts w:ascii="Times New Roman" w:hAnsi="Times New Roman" w:cs="Times New Roman"/>
          <w:noProof/>
          <w:szCs w:val="20"/>
          <w:lang w:val="es-ES"/>
        </w:rPr>
        <w:t>Fortalezas-Oportunidades-Fortalezas-Amenazas</w:t>
      </w:r>
    </w:p>
    <w:p w14:paraId="363C7D2B" w14:textId="77777777" w:rsidR="006C458C" w:rsidRPr="00C77BA4" w:rsidRDefault="006C458C" w:rsidP="008B5056">
      <w:pPr>
        <w:tabs>
          <w:tab w:val="left" w:pos="6690"/>
        </w:tabs>
        <w:rPr>
          <w:rFonts w:ascii="Arial" w:hAnsi="Arial" w:cs="Arial"/>
          <w:b/>
          <w:i/>
          <w:noProof/>
          <w:sz w:val="18"/>
          <w:szCs w:val="18"/>
          <w:lang w:val="es-ES"/>
        </w:rPr>
      </w:pPr>
    </w:p>
    <w:p w14:paraId="287C1A88" w14:textId="77777777" w:rsidR="008B5056" w:rsidRDefault="008B5056" w:rsidP="00585A15">
      <w:pPr>
        <w:tabs>
          <w:tab w:val="left" w:pos="6690"/>
        </w:tabs>
        <w:jc w:val="center"/>
        <w:rPr>
          <w:rFonts w:ascii="Arial" w:hAnsi="Arial" w:cs="Arial"/>
          <w:b/>
          <w:noProof/>
          <w:sz w:val="18"/>
          <w:szCs w:val="18"/>
          <w:lang w:val="es-ES"/>
        </w:rPr>
      </w:pPr>
    </w:p>
    <w:tbl>
      <w:tblPr>
        <w:tblStyle w:val="Tablaconcuadrcula"/>
        <w:tblW w:w="7655" w:type="dxa"/>
        <w:tblInd w:w="675" w:type="dxa"/>
        <w:tblBorders>
          <w:top w:val="thinThickLargeGap" w:sz="24" w:space="0" w:color="000090"/>
          <w:left w:val="thinThickLargeGap" w:sz="24" w:space="0" w:color="000090"/>
          <w:bottom w:val="thinThickLargeGap" w:sz="24" w:space="0" w:color="000090"/>
          <w:right w:val="thinThickLargeGap" w:sz="24" w:space="0" w:color="000090"/>
          <w:insideH w:val="thinThickLargeGap" w:sz="24" w:space="0" w:color="000090"/>
          <w:insideV w:val="thinThickLargeGap" w:sz="24" w:space="0" w:color="000090"/>
        </w:tblBorders>
        <w:tblLook w:val="04A0" w:firstRow="1" w:lastRow="0" w:firstColumn="1" w:lastColumn="0" w:noHBand="0" w:noVBand="1"/>
      </w:tblPr>
      <w:tblGrid>
        <w:gridCol w:w="3544"/>
        <w:gridCol w:w="4111"/>
      </w:tblGrid>
      <w:tr w:rsidR="00F0330C" w14:paraId="55CA5FE6" w14:textId="77777777" w:rsidTr="00F63331">
        <w:tc>
          <w:tcPr>
            <w:tcW w:w="7655" w:type="dxa"/>
            <w:gridSpan w:val="2"/>
            <w:shd w:val="clear" w:color="auto" w:fill="E5DFEC" w:themeFill="accent4" w:themeFillTint="33"/>
          </w:tcPr>
          <w:p w14:paraId="54622FA3" w14:textId="082D045D" w:rsidR="00F0330C" w:rsidRPr="00F85A40" w:rsidRDefault="00310E50" w:rsidP="00F0330C">
            <w:pPr>
              <w:jc w:val="center"/>
              <w:rPr>
                <w:rFonts w:ascii="Arial" w:hAnsi="Arial"/>
                <w:b/>
                <w:color w:val="000090"/>
              </w:rPr>
            </w:pPr>
            <w:r>
              <w:rPr>
                <w:rFonts w:ascii="Arial" w:hAnsi="Arial"/>
                <w:b/>
                <w:color w:val="000090"/>
              </w:rPr>
              <w:t>Matriz de estrategia</w:t>
            </w:r>
            <w:r w:rsidR="00F0330C">
              <w:rPr>
                <w:rFonts w:ascii="Arial" w:hAnsi="Arial"/>
                <w:b/>
                <w:color w:val="000090"/>
              </w:rPr>
              <w:t xml:space="preserve"> FODA</w:t>
            </w:r>
          </w:p>
        </w:tc>
      </w:tr>
      <w:tr w:rsidR="00F0330C" w:rsidRPr="0073323E" w14:paraId="73ED076D" w14:textId="77777777" w:rsidTr="00F63331">
        <w:tc>
          <w:tcPr>
            <w:tcW w:w="3544" w:type="dxa"/>
            <w:shd w:val="clear" w:color="auto" w:fill="auto"/>
          </w:tcPr>
          <w:p w14:paraId="4FCDD2AB" w14:textId="77777777" w:rsidR="00F0330C" w:rsidRDefault="00F0330C" w:rsidP="00F0330C">
            <w:pPr>
              <w:tabs>
                <w:tab w:val="left" w:pos="6690"/>
              </w:tabs>
              <w:spacing w:line="360" w:lineRule="auto"/>
              <w:jc w:val="center"/>
              <w:rPr>
                <w:rFonts w:ascii="Arial" w:hAnsi="Arial" w:cs="Arial"/>
                <w:b/>
                <w:color w:val="000090"/>
              </w:rPr>
            </w:pPr>
          </w:p>
          <w:p w14:paraId="2617DB57" w14:textId="77777777" w:rsidR="00F0330C" w:rsidRDefault="00F0330C" w:rsidP="00F0330C">
            <w:pPr>
              <w:tabs>
                <w:tab w:val="left" w:pos="6690"/>
              </w:tabs>
              <w:jc w:val="center"/>
              <w:rPr>
                <w:rFonts w:ascii="Arial" w:hAnsi="Arial" w:cs="Arial"/>
                <w:b/>
              </w:rPr>
            </w:pPr>
            <w:r w:rsidRPr="0073323E">
              <w:rPr>
                <w:rFonts w:ascii="Arial" w:hAnsi="Arial" w:cs="Arial"/>
                <w:b/>
              </w:rPr>
              <w:t>F</w:t>
            </w:r>
            <w:r>
              <w:rPr>
                <w:rFonts w:ascii="Arial" w:hAnsi="Arial" w:cs="Arial"/>
                <w:b/>
              </w:rPr>
              <w:t>ORTALEZAS</w:t>
            </w:r>
            <w:r w:rsidRPr="0073323E">
              <w:rPr>
                <w:rFonts w:ascii="Arial" w:hAnsi="Arial" w:cs="Arial"/>
                <w:b/>
              </w:rPr>
              <w:t>-O</w:t>
            </w:r>
            <w:r>
              <w:rPr>
                <w:rFonts w:ascii="Arial" w:hAnsi="Arial" w:cs="Arial"/>
                <w:b/>
              </w:rPr>
              <w:t>PORTUNIDADES</w:t>
            </w:r>
          </w:p>
          <w:p w14:paraId="7C465DB0" w14:textId="77777777" w:rsidR="00F0330C" w:rsidRPr="0073323E" w:rsidRDefault="00F0330C" w:rsidP="00F0330C">
            <w:pPr>
              <w:tabs>
                <w:tab w:val="left" w:pos="6690"/>
              </w:tabs>
              <w:jc w:val="center"/>
              <w:rPr>
                <w:rFonts w:ascii="Arial" w:hAnsi="Arial" w:cs="Arial"/>
                <w:b/>
              </w:rPr>
            </w:pPr>
          </w:p>
          <w:p w14:paraId="328514E9" w14:textId="77777777" w:rsidR="00F0330C" w:rsidRPr="0073323E" w:rsidRDefault="00F0330C" w:rsidP="00F0330C">
            <w:pPr>
              <w:pStyle w:val="Prrafodelista"/>
              <w:numPr>
                <w:ilvl w:val="0"/>
                <w:numId w:val="13"/>
              </w:numPr>
              <w:tabs>
                <w:tab w:val="left" w:pos="6690"/>
              </w:tabs>
              <w:jc w:val="both"/>
              <w:rPr>
                <w:rFonts w:ascii="Arial" w:hAnsi="Arial" w:cs="Arial"/>
              </w:rPr>
            </w:pPr>
            <w:r w:rsidRPr="0073323E">
              <w:rPr>
                <w:rFonts w:ascii="Arial" w:hAnsi="Arial" w:cs="Arial"/>
              </w:rPr>
              <w:t>Aprovechamiento y uso eficiente del conocimiento.</w:t>
            </w:r>
          </w:p>
          <w:p w14:paraId="367FFEBE" w14:textId="77777777" w:rsidR="00F0330C" w:rsidRPr="0073323E" w:rsidRDefault="00F0330C" w:rsidP="00F0330C">
            <w:pPr>
              <w:pStyle w:val="Prrafodelista"/>
              <w:numPr>
                <w:ilvl w:val="0"/>
                <w:numId w:val="13"/>
              </w:numPr>
              <w:tabs>
                <w:tab w:val="left" w:pos="6690"/>
              </w:tabs>
              <w:jc w:val="both"/>
              <w:rPr>
                <w:rFonts w:ascii="Arial" w:hAnsi="Arial" w:cs="Arial"/>
              </w:rPr>
            </w:pPr>
            <w:r w:rsidRPr="0073323E">
              <w:rPr>
                <w:rFonts w:ascii="Arial" w:hAnsi="Arial" w:cs="Arial"/>
              </w:rPr>
              <w:t xml:space="preserve"> Mejorar la capacidad del país para  competir con la economía global.</w:t>
            </w:r>
          </w:p>
          <w:p w14:paraId="675C9F87" w14:textId="5713A8D5" w:rsidR="00F0330C" w:rsidRPr="0073323E" w:rsidRDefault="00484FAE" w:rsidP="00F0330C">
            <w:pPr>
              <w:pStyle w:val="Prrafodelista"/>
              <w:numPr>
                <w:ilvl w:val="0"/>
                <w:numId w:val="13"/>
              </w:numPr>
              <w:tabs>
                <w:tab w:val="left" w:pos="6690"/>
              </w:tabs>
              <w:jc w:val="both"/>
              <w:rPr>
                <w:rFonts w:ascii="Arial" w:hAnsi="Arial" w:cs="Arial"/>
              </w:rPr>
            </w:pPr>
            <w:r>
              <w:rPr>
                <w:rFonts w:ascii="Arial" w:hAnsi="Arial" w:cs="Arial"/>
              </w:rPr>
              <w:t>Crear un a</w:t>
            </w:r>
            <w:r w:rsidR="00F0330C" w:rsidRPr="0073323E">
              <w:rPr>
                <w:rFonts w:ascii="Arial" w:hAnsi="Arial" w:cs="Arial"/>
              </w:rPr>
              <w:t>mbiente favorable para la actividad empresarial.</w:t>
            </w:r>
          </w:p>
          <w:p w14:paraId="6760FC72" w14:textId="77777777" w:rsidR="00F0330C" w:rsidRPr="0073323E" w:rsidRDefault="00F0330C" w:rsidP="00F0330C">
            <w:pPr>
              <w:pStyle w:val="Prrafodelista"/>
              <w:tabs>
                <w:tab w:val="left" w:pos="6690"/>
              </w:tabs>
              <w:spacing w:line="360" w:lineRule="auto"/>
              <w:jc w:val="both"/>
              <w:rPr>
                <w:rFonts w:ascii="Arial" w:hAnsi="Arial" w:cs="Arial"/>
              </w:rPr>
            </w:pPr>
          </w:p>
          <w:p w14:paraId="0EC18BAA" w14:textId="77777777" w:rsidR="00F0330C" w:rsidRPr="0073323E" w:rsidRDefault="00F0330C" w:rsidP="00F0330C">
            <w:pPr>
              <w:pStyle w:val="Prrafodelista"/>
              <w:tabs>
                <w:tab w:val="left" w:pos="6690"/>
              </w:tabs>
              <w:rPr>
                <w:rFonts w:ascii="Arial" w:hAnsi="Arial" w:cs="Arial"/>
              </w:rPr>
            </w:pPr>
          </w:p>
        </w:tc>
        <w:tc>
          <w:tcPr>
            <w:tcW w:w="4111" w:type="dxa"/>
            <w:shd w:val="clear" w:color="auto" w:fill="auto"/>
          </w:tcPr>
          <w:p w14:paraId="3217C1F7" w14:textId="77777777" w:rsidR="00F0330C" w:rsidRDefault="00F0330C" w:rsidP="00F0330C">
            <w:pPr>
              <w:tabs>
                <w:tab w:val="left" w:pos="6690"/>
              </w:tabs>
              <w:spacing w:line="360" w:lineRule="auto"/>
              <w:jc w:val="center"/>
              <w:rPr>
                <w:rFonts w:ascii="Arial" w:hAnsi="Arial" w:cs="Arial"/>
                <w:b/>
                <w:color w:val="000090"/>
              </w:rPr>
            </w:pPr>
          </w:p>
          <w:p w14:paraId="5478E5F7" w14:textId="77777777" w:rsidR="00F0330C" w:rsidRDefault="00F0330C" w:rsidP="00F0330C">
            <w:pPr>
              <w:tabs>
                <w:tab w:val="left" w:pos="6690"/>
              </w:tabs>
              <w:jc w:val="center"/>
              <w:rPr>
                <w:rFonts w:ascii="Arial" w:hAnsi="Arial" w:cs="Arial"/>
                <w:b/>
              </w:rPr>
            </w:pPr>
            <w:r w:rsidRPr="0073323E">
              <w:rPr>
                <w:rFonts w:ascii="Arial" w:hAnsi="Arial" w:cs="Arial"/>
                <w:b/>
              </w:rPr>
              <w:t>F</w:t>
            </w:r>
            <w:r>
              <w:rPr>
                <w:rFonts w:ascii="Arial" w:hAnsi="Arial" w:cs="Arial"/>
                <w:b/>
              </w:rPr>
              <w:t>ORTALEZAS</w:t>
            </w:r>
            <w:r w:rsidRPr="0073323E">
              <w:rPr>
                <w:rFonts w:ascii="Arial" w:hAnsi="Arial" w:cs="Arial"/>
                <w:b/>
              </w:rPr>
              <w:t>-A</w:t>
            </w:r>
            <w:r>
              <w:rPr>
                <w:rFonts w:ascii="Arial" w:hAnsi="Arial" w:cs="Arial"/>
                <w:b/>
              </w:rPr>
              <w:t>MENZAS</w:t>
            </w:r>
          </w:p>
          <w:p w14:paraId="3D1B0847" w14:textId="77777777" w:rsidR="00F0330C" w:rsidRPr="0073323E" w:rsidRDefault="00F0330C" w:rsidP="00F0330C">
            <w:pPr>
              <w:tabs>
                <w:tab w:val="left" w:pos="6690"/>
              </w:tabs>
              <w:jc w:val="center"/>
              <w:rPr>
                <w:rFonts w:ascii="Arial" w:hAnsi="Arial" w:cs="Arial"/>
                <w:b/>
              </w:rPr>
            </w:pPr>
          </w:p>
          <w:p w14:paraId="51195393" w14:textId="77777777" w:rsidR="00F0330C" w:rsidRPr="0073323E" w:rsidRDefault="00F0330C" w:rsidP="00F0330C">
            <w:pPr>
              <w:pStyle w:val="Prrafodelista"/>
              <w:numPr>
                <w:ilvl w:val="0"/>
                <w:numId w:val="8"/>
              </w:numPr>
              <w:tabs>
                <w:tab w:val="left" w:pos="1440"/>
              </w:tabs>
              <w:rPr>
                <w:rFonts w:ascii="Arial" w:hAnsi="Arial" w:cs="Arial"/>
              </w:rPr>
            </w:pPr>
            <w:r w:rsidRPr="0073323E">
              <w:rPr>
                <w:rFonts w:ascii="Arial" w:hAnsi="Arial" w:cs="Arial"/>
              </w:rPr>
              <w:t>Mejorar la calidad y cobertura de la educación.</w:t>
            </w:r>
          </w:p>
          <w:p w14:paraId="53A808B1" w14:textId="77777777" w:rsidR="00F0330C" w:rsidRPr="0073323E" w:rsidRDefault="00F0330C" w:rsidP="00F0330C">
            <w:pPr>
              <w:pStyle w:val="Prrafodelista"/>
              <w:numPr>
                <w:ilvl w:val="0"/>
                <w:numId w:val="8"/>
              </w:numPr>
              <w:tabs>
                <w:tab w:val="left" w:pos="1440"/>
              </w:tabs>
              <w:rPr>
                <w:rFonts w:ascii="Arial" w:hAnsi="Arial" w:cs="Arial"/>
              </w:rPr>
            </w:pPr>
            <w:r w:rsidRPr="0073323E">
              <w:rPr>
                <w:rFonts w:ascii="Arial" w:hAnsi="Arial" w:cs="Arial"/>
              </w:rPr>
              <w:t>Establecer incentivos y mejorar las condiciones para el desarrollo de la actividad empresarial.</w:t>
            </w:r>
          </w:p>
          <w:p w14:paraId="7062436B" w14:textId="77777777" w:rsidR="00F0330C" w:rsidRPr="0073323E" w:rsidRDefault="00F0330C" w:rsidP="00F0330C">
            <w:pPr>
              <w:pStyle w:val="Prrafodelista"/>
              <w:numPr>
                <w:ilvl w:val="0"/>
                <w:numId w:val="8"/>
              </w:numPr>
              <w:tabs>
                <w:tab w:val="left" w:pos="1440"/>
              </w:tabs>
              <w:rPr>
                <w:rFonts w:ascii="Arial" w:hAnsi="Arial" w:cs="Arial"/>
              </w:rPr>
            </w:pPr>
            <w:r w:rsidRPr="0073323E">
              <w:rPr>
                <w:rFonts w:ascii="Arial" w:hAnsi="Arial" w:cs="Arial"/>
              </w:rPr>
              <w:t>Incrementar la tasa de matriculación en secundaria.</w:t>
            </w:r>
          </w:p>
          <w:p w14:paraId="04C146E7" w14:textId="77777777" w:rsidR="00F0330C" w:rsidRPr="0073323E" w:rsidRDefault="00F0330C" w:rsidP="00F0330C">
            <w:pPr>
              <w:pStyle w:val="Prrafodelista"/>
              <w:numPr>
                <w:ilvl w:val="0"/>
                <w:numId w:val="8"/>
              </w:numPr>
              <w:tabs>
                <w:tab w:val="left" w:pos="1440"/>
              </w:tabs>
              <w:rPr>
                <w:rFonts w:ascii="Arial" w:hAnsi="Arial" w:cs="Arial"/>
              </w:rPr>
            </w:pPr>
            <w:r w:rsidRPr="0073323E">
              <w:rPr>
                <w:rFonts w:ascii="Arial" w:hAnsi="Arial" w:cs="Arial"/>
              </w:rPr>
              <w:t>Extender el acceso a la telefonía y computadoras en todas las entidades federativas, para incrementar el uso de la información y el conocimiento.</w:t>
            </w:r>
          </w:p>
          <w:p w14:paraId="05C9B61B" w14:textId="77777777" w:rsidR="00F0330C" w:rsidRDefault="00F0330C" w:rsidP="00F0330C">
            <w:pPr>
              <w:pStyle w:val="Prrafodelista"/>
              <w:numPr>
                <w:ilvl w:val="0"/>
                <w:numId w:val="8"/>
              </w:numPr>
              <w:tabs>
                <w:tab w:val="left" w:pos="1440"/>
              </w:tabs>
              <w:rPr>
                <w:rFonts w:ascii="Arial" w:hAnsi="Arial" w:cs="Arial"/>
              </w:rPr>
            </w:pPr>
            <w:r w:rsidRPr="0073323E">
              <w:rPr>
                <w:rFonts w:ascii="Arial" w:hAnsi="Arial" w:cs="Arial"/>
              </w:rPr>
              <w:t>Ampliar la cobertura de redes y telecomunicaciones a nivel nacional.</w:t>
            </w:r>
          </w:p>
          <w:p w14:paraId="265BE767" w14:textId="77777777" w:rsidR="00F0330C" w:rsidRPr="0073323E" w:rsidRDefault="00F0330C" w:rsidP="00F0330C">
            <w:pPr>
              <w:pStyle w:val="Prrafodelista"/>
              <w:numPr>
                <w:ilvl w:val="0"/>
                <w:numId w:val="8"/>
              </w:numPr>
              <w:tabs>
                <w:tab w:val="left" w:pos="6690"/>
              </w:tabs>
              <w:jc w:val="both"/>
              <w:rPr>
                <w:rFonts w:ascii="Arial" w:hAnsi="Arial" w:cs="Arial"/>
              </w:rPr>
            </w:pPr>
            <w:r w:rsidRPr="008B5CD9">
              <w:rPr>
                <w:rFonts w:ascii="Arial" w:hAnsi="Arial" w:cs="Arial"/>
              </w:rPr>
              <w:t>Crear vínculos regionales para</w:t>
            </w:r>
            <w:r>
              <w:rPr>
                <w:rFonts w:ascii="Arial" w:hAnsi="Arial" w:cs="Arial"/>
              </w:rPr>
              <w:t xml:space="preserve"> la generación del conocimiento</w:t>
            </w:r>
            <w:r w:rsidRPr="0073323E">
              <w:rPr>
                <w:rFonts w:ascii="Arial" w:hAnsi="Arial" w:cs="Arial"/>
              </w:rPr>
              <w:t>.</w:t>
            </w:r>
          </w:p>
          <w:p w14:paraId="2EC919BC" w14:textId="77777777" w:rsidR="00F0330C" w:rsidRPr="0073323E" w:rsidRDefault="00F0330C" w:rsidP="00F0330C">
            <w:pPr>
              <w:pStyle w:val="Prrafodelista"/>
              <w:tabs>
                <w:tab w:val="left" w:pos="6690"/>
              </w:tabs>
              <w:jc w:val="both"/>
              <w:rPr>
                <w:rFonts w:ascii="Arial" w:hAnsi="Arial" w:cs="Arial"/>
              </w:rPr>
            </w:pPr>
          </w:p>
        </w:tc>
      </w:tr>
    </w:tbl>
    <w:p w14:paraId="022ACE41" w14:textId="77777777" w:rsidR="00A24A0C" w:rsidRDefault="00A24A0C" w:rsidP="00A24A0C">
      <w:pPr>
        <w:tabs>
          <w:tab w:val="left" w:pos="6690"/>
        </w:tabs>
        <w:rPr>
          <w:rFonts w:ascii="Arial" w:hAnsi="Arial" w:cs="Arial"/>
          <w:b/>
          <w:sz w:val="18"/>
          <w:szCs w:val="18"/>
        </w:rPr>
      </w:pPr>
    </w:p>
    <w:p w14:paraId="2D20BD70" w14:textId="560A249D" w:rsidR="00A24A0C" w:rsidRDefault="00C77BA4" w:rsidP="003F49A1">
      <w:pPr>
        <w:tabs>
          <w:tab w:val="left" w:pos="6690"/>
        </w:tabs>
        <w:jc w:val="center"/>
        <w:rPr>
          <w:rFonts w:ascii="Arial" w:hAnsi="Arial" w:cs="Arial"/>
          <w:noProof/>
          <w:lang w:val="es-ES"/>
        </w:rPr>
      </w:pPr>
      <w:r w:rsidRPr="003F49A1">
        <w:rPr>
          <w:rFonts w:ascii="Times New Roman" w:hAnsi="Times New Roman" w:cs="Times New Roman"/>
          <w:b/>
          <w:szCs w:val="20"/>
        </w:rPr>
        <w:t>Nota:</w:t>
      </w:r>
      <w:r w:rsidRPr="003F49A1">
        <w:rPr>
          <w:rFonts w:ascii="Times New Roman" w:hAnsi="Times New Roman" w:cs="Times New Roman"/>
          <w:szCs w:val="20"/>
        </w:rPr>
        <w:t xml:space="preserve"> Creación propia</w:t>
      </w:r>
      <w:r>
        <w:rPr>
          <w:rFonts w:ascii="Times New Roman" w:hAnsi="Times New Roman" w:cs="Times New Roman"/>
          <w:sz w:val="20"/>
          <w:szCs w:val="20"/>
        </w:rPr>
        <w:t>.</w:t>
      </w:r>
    </w:p>
    <w:p w14:paraId="4F9E3821" w14:textId="19C0DD4E" w:rsidR="008B5056" w:rsidRPr="003F49A1" w:rsidRDefault="00FB6570" w:rsidP="00A24A0C">
      <w:pPr>
        <w:tabs>
          <w:tab w:val="left" w:pos="6690"/>
        </w:tabs>
        <w:spacing w:line="360" w:lineRule="auto"/>
        <w:jc w:val="both"/>
        <w:rPr>
          <w:rFonts w:ascii="Times New Roman" w:hAnsi="Times New Roman" w:cs="Times New Roman"/>
          <w:noProof/>
          <w:lang w:val="es-ES"/>
        </w:rPr>
      </w:pPr>
      <w:r w:rsidRPr="003F49A1">
        <w:rPr>
          <w:rFonts w:ascii="Times New Roman" w:hAnsi="Times New Roman" w:cs="Times New Roman"/>
          <w:noProof/>
          <w:lang w:val="es-ES"/>
        </w:rPr>
        <w:lastRenderedPageBreak/>
        <w:t>Además</w:t>
      </w:r>
      <w:r w:rsidR="00971811" w:rsidRPr="003F49A1">
        <w:rPr>
          <w:rFonts w:ascii="Times New Roman" w:hAnsi="Times New Roman" w:cs="Times New Roman"/>
          <w:noProof/>
          <w:lang w:val="es-ES"/>
        </w:rPr>
        <w:t>,</w:t>
      </w:r>
      <w:r w:rsidRPr="003F49A1">
        <w:rPr>
          <w:rFonts w:ascii="Times New Roman" w:hAnsi="Times New Roman" w:cs="Times New Roman"/>
          <w:noProof/>
          <w:lang w:val="es-ES"/>
        </w:rPr>
        <w:t xml:space="preserve"> la tabla número cuatro presenta las estrategias que complementan el análisis FODA, en donde se plantea minimizar las debilidades</w:t>
      </w:r>
      <w:r w:rsidR="005553DC" w:rsidRPr="003F49A1">
        <w:rPr>
          <w:rFonts w:ascii="Times New Roman" w:hAnsi="Times New Roman" w:cs="Times New Roman"/>
          <w:noProof/>
          <w:lang w:val="es-ES"/>
        </w:rPr>
        <w:t xml:space="preserve"> al maximizar las oportunidades, así como minimizar las debilidades y amanezas.</w:t>
      </w:r>
    </w:p>
    <w:p w14:paraId="03DC2122" w14:textId="77777777" w:rsidR="008B5056" w:rsidRPr="003F49A1" w:rsidRDefault="008B5056" w:rsidP="00A24A0C">
      <w:pPr>
        <w:tabs>
          <w:tab w:val="left" w:pos="6690"/>
        </w:tabs>
        <w:spacing w:line="360" w:lineRule="auto"/>
        <w:jc w:val="center"/>
        <w:rPr>
          <w:rFonts w:ascii="Times New Roman" w:hAnsi="Times New Roman" w:cs="Times New Roman"/>
          <w:b/>
          <w:noProof/>
          <w:lang w:val="es-ES"/>
        </w:rPr>
      </w:pPr>
    </w:p>
    <w:p w14:paraId="1CF568E1" w14:textId="2A6A64A8" w:rsidR="00556FBD" w:rsidRPr="003F49A1" w:rsidRDefault="00556FBD" w:rsidP="003F49A1">
      <w:pPr>
        <w:tabs>
          <w:tab w:val="left" w:pos="6690"/>
        </w:tabs>
        <w:jc w:val="center"/>
        <w:rPr>
          <w:rFonts w:ascii="Times New Roman" w:hAnsi="Times New Roman" w:cs="Times New Roman"/>
          <w:noProof/>
          <w:sz w:val="20"/>
          <w:szCs w:val="20"/>
          <w:lang w:val="es-ES"/>
        </w:rPr>
      </w:pPr>
      <w:r w:rsidRPr="003F49A1">
        <w:rPr>
          <w:rFonts w:ascii="Times New Roman" w:hAnsi="Times New Roman" w:cs="Times New Roman"/>
          <w:b/>
          <w:noProof/>
          <w:lang w:val="es-ES"/>
        </w:rPr>
        <w:t>Tabla 4</w:t>
      </w:r>
      <w:r w:rsidR="003F49A1" w:rsidRPr="003F49A1">
        <w:rPr>
          <w:rFonts w:ascii="Times New Roman" w:hAnsi="Times New Roman" w:cs="Times New Roman"/>
          <w:b/>
          <w:noProof/>
          <w:lang w:val="es-ES"/>
        </w:rPr>
        <w:t>.</w:t>
      </w:r>
      <w:r w:rsidR="003F49A1" w:rsidRPr="003F49A1">
        <w:rPr>
          <w:rFonts w:ascii="Times New Roman" w:hAnsi="Times New Roman" w:cs="Times New Roman"/>
          <w:noProof/>
          <w:lang w:val="es-ES"/>
        </w:rPr>
        <w:t xml:space="preserve"> </w:t>
      </w:r>
      <w:r w:rsidR="00310E50" w:rsidRPr="003F49A1">
        <w:rPr>
          <w:rFonts w:ascii="Times New Roman" w:hAnsi="Times New Roman" w:cs="Times New Roman"/>
          <w:noProof/>
          <w:lang w:val="es-ES"/>
        </w:rPr>
        <w:t xml:space="preserve">Matriz de estrategia </w:t>
      </w:r>
      <w:r w:rsidR="003969D7" w:rsidRPr="003F49A1">
        <w:rPr>
          <w:rFonts w:ascii="Times New Roman" w:hAnsi="Times New Roman" w:cs="Times New Roman"/>
          <w:noProof/>
          <w:lang w:val="es-ES"/>
        </w:rPr>
        <w:t>FODA, respecto a las Debilidades-Oportunidades-Debilidades</w:t>
      </w:r>
      <w:r w:rsidRPr="003F49A1">
        <w:rPr>
          <w:rFonts w:ascii="Times New Roman" w:hAnsi="Times New Roman" w:cs="Times New Roman"/>
          <w:noProof/>
          <w:lang w:val="es-ES"/>
        </w:rPr>
        <w:t>-Amenazas</w:t>
      </w:r>
    </w:p>
    <w:p w14:paraId="1A2F67A4" w14:textId="77777777" w:rsidR="008B5056" w:rsidRPr="008B5056" w:rsidRDefault="008B5056" w:rsidP="003969D7">
      <w:pPr>
        <w:tabs>
          <w:tab w:val="left" w:pos="6690"/>
        </w:tabs>
        <w:rPr>
          <w:rFonts w:ascii="Arial" w:hAnsi="Arial" w:cs="Arial"/>
          <w:b/>
          <w:noProof/>
          <w:sz w:val="20"/>
          <w:szCs w:val="20"/>
          <w:lang w:val="es-ES"/>
        </w:rPr>
      </w:pPr>
    </w:p>
    <w:tbl>
      <w:tblPr>
        <w:tblStyle w:val="Tablaconcuadrcula"/>
        <w:tblW w:w="7938" w:type="dxa"/>
        <w:tblInd w:w="392" w:type="dxa"/>
        <w:tblBorders>
          <w:top w:val="thinThickLargeGap" w:sz="24" w:space="0" w:color="000090"/>
          <w:left w:val="thinThickLargeGap" w:sz="24" w:space="0" w:color="000090"/>
          <w:bottom w:val="thinThickLargeGap" w:sz="24" w:space="0" w:color="000090"/>
          <w:right w:val="thinThickLargeGap" w:sz="24" w:space="0" w:color="000090"/>
          <w:insideH w:val="thinThickLargeGap" w:sz="24" w:space="0" w:color="000090"/>
          <w:insideV w:val="thinThickLargeGap" w:sz="24" w:space="0" w:color="000090"/>
        </w:tblBorders>
        <w:tblLook w:val="04A0" w:firstRow="1" w:lastRow="0" w:firstColumn="1" w:lastColumn="0" w:noHBand="0" w:noVBand="1"/>
      </w:tblPr>
      <w:tblGrid>
        <w:gridCol w:w="3827"/>
        <w:gridCol w:w="4111"/>
      </w:tblGrid>
      <w:tr w:rsidR="00FB6570" w14:paraId="4C527096" w14:textId="77777777" w:rsidTr="00F63331">
        <w:tc>
          <w:tcPr>
            <w:tcW w:w="7938" w:type="dxa"/>
            <w:gridSpan w:val="2"/>
            <w:shd w:val="clear" w:color="auto" w:fill="FDE9D9" w:themeFill="accent6" w:themeFillTint="33"/>
          </w:tcPr>
          <w:p w14:paraId="29DADCB9" w14:textId="281BAA9F" w:rsidR="00FB6570" w:rsidRPr="00F85A40" w:rsidRDefault="00310E50" w:rsidP="00FB6570">
            <w:pPr>
              <w:jc w:val="center"/>
              <w:rPr>
                <w:rFonts w:ascii="Arial" w:hAnsi="Arial"/>
                <w:b/>
                <w:color w:val="000090"/>
              </w:rPr>
            </w:pPr>
            <w:r>
              <w:rPr>
                <w:rFonts w:ascii="Arial" w:hAnsi="Arial"/>
                <w:b/>
                <w:color w:val="000090"/>
              </w:rPr>
              <w:t>MATRIZ DE ESTRATEGIA</w:t>
            </w:r>
            <w:r w:rsidR="00FB6570">
              <w:rPr>
                <w:rFonts w:ascii="Arial" w:hAnsi="Arial"/>
                <w:b/>
                <w:color w:val="000090"/>
              </w:rPr>
              <w:t xml:space="preserve"> FODA</w:t>
            </w:r>
          </w:p>
        </w:tc>
      </w:tr>
      <w:tr w:rsidR="00FB6570" w:rsidRPr="0073323E" w14:paraId="0FFD0C6C" w14:textId="77777777" w:rsidTr="00F63331">
        <w:tc>
          <w:tcPr>
            <w:tcW w:w="3827" w:type="dxa"/>
            <w:shd w:val="clear" w:color="auto" w:fill="auto"/>
          </w:tcPr>
          <w:p w14:paraId="11B5F9FF" w14:textId="77777777" w:rsidR="00FB6570" w:rsidRPr="0073323E" w:rsidRDefault="00FB6570" w:rsidP="00FB6570">
            <w:pPr>
              <w:widowControl w:val="0"/>
              <w:autoSpaceDE w:val="0"/>
              <w:autoSpaceDN w:val="0"/>
              <w:adjustRightInd w:val="0"/>
              <w:spacing w:line="200" w:lineRule="atLeast"/>
              <w:jc w:val="center"/>
              <w:rPr>
                <w:rFonts w:ascii="Arial" w:hAnsi="Arial" w:cs="Times"/>
                <w:b/>
                <w:color w:val="000000"/>
                <w:lang w:val="es-ES"/>
              </w:rPr>
            </w:pPr>
            <w:r w:rsidRPr="0073323E">
              <w:rPr>
                <w:rFonts w:ascii="Arial" w:hAnsi="Arial" w:cs="Times"/>
                <w:b/>
                <w:color w:val="000000"/>
                <w:lang w:val="es-ES"/>
              </w:rPr>
              <w:t>DEBILIDADES-OPORTUNIDADES</w:t>
            </w:r>
          </w:p>
          <w:p w14:paraId="0D445467" w14:textId="77777777" w:rsidR="00FB6570" w:rsidRPr="0073323E" w:rsidRDefault="00FB6570" w:rsidP="00FB6570">
            <w:pPr>
              <w:widowControl w:val="0"/>
              <w:autoSpaceDE w:val="0"/>
              <w:autoSpaceDN w:val="0"/>
              <w:adjustRightInd w:val="0"/>
              <w:spacing w:line="200" w:lineRule="atLeast"/>
              <w:jc w:val="center"/>
              <w:rPr>
                <w:rFonts w:ascii="Arial" w:hAnsi="Arial" w:cs="Arial"/>
                <w:b/>
              </w:rPr>
            </w:pPr>
          </w:p>
          <w:p w14:paraId="11669FB4" w14:textId="278ED4E9" w:rsidR="00FB6570" w:rsidRPr="0073323E" w:rsidRDefault="000D57D0" w:rsidP="00FB6570">
            <w:pPr>
              <w:pStyle w:val="Prrafodelista"/>
              <w:numPr>
                <w:ilvl w:val="0"/>
                <w:numId w:val="8"/>
              </w:numPr>
              <w:tabs>
                <w:tab w:val="left" w:pos="1050"/>
              </w:tabs>
              <w:jc w:val="both"/>
              <w:rPr>
                <w:rFonts w:ascii="Arial" w:hAnsi="Arial" w:cs="Arial"/>
              </w:rPr>
            </w:pPr>
            <w:r>
              <w:rPr>
                <w:rFonts w:ascii="Arial" w:hAnsi="Arial" w:cs="Arial"/>
              </w:rPr>
              <w:t xml:space="preserve">Respaldar </w:t>
            </w:r>
            <w:r w:rsidR="00FB6570" w:rsidRPr="0073323E">
              <w:rPr>
                <w:rFonts w:ascii="Arial" w:hAnsi="Arial" w:cs="Arial"/>
              </w:rPr>
              <w:t xml:space="preserve">la actividad económica </w:t>
            </w:r>
            <w:r>
              <w:rPr>
                <w:rFonts w:ascii="Arial" w:hAnsi="Arial" w:cs="Arial"/>
              </w:rPr>
              <w:t>en</w:t>
            </w:r>
            <w:r w:rsidR="00FB6570" w:rsidRPr="0073323E">
              <w:rPr>
                <w:rFonts w:ascii="Arial" w:hAnsi="Arial" w:cs="Arial"/>
              </w:rPr>
              <w:t xml:space="preserve"> todas las entidades del país.</w:t>
            </w:r>
          </w:p>
          <w:p w14:paraId="29097D48" w14:textId="6F54E690" w:rsidR="00FB6570" w:rsidRPr="0073323E" w:rsidRDefault="000D57D0" w:rsidP="00FB6570">
            <w:pPr>
              <w:pStyle w:val="Prrafodelista"/>
              <w:numPr>
                <w:ilvl w:val="0"/>
                <w:numId w:val="8"/>
              </w:numPr>
              <w:tabs>
                <w:tab w:val="left" w:pos="1050"/>
              </w:tabs>
              <w:jc w:val="both"/>
              <w:rPr>
                <w:rFonts w:ascii="Arial" w:hAnsi="Arial" w:cs="Arial"/>
              </w:rPr>
            </w:pPr>
            <w:r>
              <w:rPr>
                <w:rFonts w:ascii="Arial" w:hAnsi="Arial" w:cs="Arial"/>
              </w:rPr>
              <w:t>Promover la a</w:t>
            </w:r>
            <w:r w:rsidR="00FB6570" w:rsidRPr="0073323E">
              <w:rPr>
                <w:rFonts w:ascii="Arial" w:hAnsi="Arial" w:cs="Arial"/>
              </w:rPr>
              <w:t xml:space="preserve">pertura comercial </w:t>
            </w:r>
            <w:r>
              <w:rPr>
                <w:rFonts w:ascii="Arial" w:hAnsi="Arial" w:cs="Arial"/>
              </w:rPr>
              <w:t>e</w:t>
            </w:r>
            <w:r w:rsidR="00FB6570" w:rsidRPr="0073323E">
              <w:rPr>
                <w:rFonts w:ascii="Arial" w:hAnsi="Arial" w:cs="Arial"/>
              </w:rPr>
              <w:t xml:space="preserve"> intercambio de áreas de conocimiento y tecnología.</w:t>
            </w:r>
          </w:p>
          <w:p w14:paraId="6C17F22B" w14:textId="5676C390" w:rsidR="00FB6570" w:rsidRPr="0073323E" w:rsidRDefault="000D57D0" w:rsidP="00FB6570">
            <w:pPr>
              <w:pStyle w:val="Prrafodelista"/>
              <w:numPr>
                <w:ilvl w:val="0"/>
                <w:numId w:val="8"/>
              </w:numPr>
              <w:tabs>
                <w:tab w:val="left" w:pos="6690"/>
              </w:tabs>
              <w:jc w:val="both"/>
              <w:rPr>
                <w:rFonts w:ascii="Arial" w:hAnsi="Arial" w:cs="Arial"/>
              </w:rPr>
            </w:pPr>
            <w:r>
              <w:rPr>
                <w:rFonts w:ascii="Arial" w:hAnsi="Arial" w:cs="Arial"/>
              </w:rPr>
              <w:t>Fomentar el</w:t>
            </w:r>
            <w:r w:rsidR="00FB6570" w:rsidRPr="0073323E">
              <w:rPr>
                <w:rFonts w:ascii="Arial" w:hAnsi="Arial" w:cs="Arial"/>
              </w:rPr>
              <w:t xml:space="preserve"> mayor uso</w:t>
            </w:r>
            <w:r>
              <w:rPr>
                <w:rFonts w:ascii="Arial" w:hAnsi="Arial" w:cs="Arial"/>
              </w:rPr>
              <w:t xml:space="preserve"> y acceso al conocimiento, a través de las tecnologías de la información e implementarlos </w:t>
            </w:r>
            <w:r w:rsidR="00FB6570" w:rsidRPr="0073323E">
              <w:rPr>
                <w:rFonts w:ascii="Arial" w:hAnsi="Arial" w:cs="Arial"/>
              </w:rPr>
              <w:t xml:space="preserve"> en sus procesos productivos.</w:t>
            </w:r>
          </w:p>
          <w:p w14:paraId="6DB2529B" w14:textId="77777777" w:rsidR="00FB6570" w:rsidRDefault="00FB6570" w:rsidP="00FB6570">
            <w:pPr>
              <w:tabs>
                <w:tab w:val="left" w:pos="6690"/>
              </w:tabs>
              <w:spacing w:line="360" w:lineRule="auto"/>
              <w:jc w:val="center"/>
              <w:rPr>
                <w:rFonts w:ascii="Arial" w:hAnsi="Arial" w:cs="Arial"/>
                <w:b/>
                <w:color w:val="000090"/>
              </w:rPr>
            </w:pPr>
          </w:p>
          <w:p w14:paraId="6D17EF3B" w14:textId="77777777" w:rsidR="00FB6570" w:rsidRPr="0073323E" w:rsidRDefault="00FB6570" w:rsidP="00FB6570">
            <w:pPr>
              <w:pStyle w:val="Prrafodelista"/>
              <w:tabs>
                <w:tab w:val="left" w:pos="6690"/>
              </w:tabs>
              <w:rPr>
                <w:rFonts w:ascii="Arial" w:hAnsi="Arial" w:cs="Arial"/>
              </w:rPr>
            </w:pPr>
          </w:p>
        </w:tc>
        <w:tc>
          <w:tcPr>
            <w:tcW w:w="4111" w:type="dxa"/>
            <w:shd w:val="clear" w:color="auto" w:fill="auto"/>
          </w:tcPr>
          <w:p w14:paraId="4A418C11" w14:textId="77777777" w:rsidR="00FB6570" w:rsidRDefault="00FB6570" w:rsidP="00FB6570">
            <w:pPr>
              <w:tabs>
                <w:tab w:val="left" w:pos="6690"/>
              </w:tabs>
              <w:jc w:val="center"/>
              <w:rPr>
                <w:rFonts w:ascii="Arial" w:hAnsi="Arial" w:cs="Arial"/>
                <w:b/>
              </w:rPr>
            </w:pPr>
            <w:r w:rsidRPr="0073323E">
              <w:rPr>
                <w:rFonts w:ascii="Arial" w:hAnsi="Arial" w:cs="Arial"/>
                <w:b/>
              </w:rPr>
              <w:t>D</w:t>
            </w:r>
            <w:r>
              <w:rPr>
                <w:rFonts w:ascii="Arial" w:hAnsi="Arial" w:cs="Arial"/>
                <w:b/>
              </w:rPr>
              <w:t>EBILIDADES</w:t>
            </w:r>
            <w:r w:rsidRPr="0073323E">
              <w:rPr>
                <w:rFonts w:ascii="Arial" w:hAnsi="Arial" w:cs="Arial"/>
                <w:b/>
              </w:rPr>
              <w:t>-A</w:t>
            </w:r>
            <w:r>
              <w:rPr>
                <w:rFonts w:ascii="Arial" w:hAnsi="Arial" w:cs="Arial"/>
                <w:b/>
              </w:rPr>
              <w:t>MENAZAS</w:t>
            </w:r>
          </w:p>
          <w:p w14:paraId="4FA735BA" w14:textId="77777777" w:rsidR="00FB6570" w:rsidRPr="0073323E" w:rsidRDefault="00FB6570" w:rsidP="00FB6570">
            <w:pPr>
              <w:tabs>
                <w:tab w:val="left" w:pos="6690"/>
              </w:tabs>
              <w:jc w:val="center"/>
              <w:rPr>
                <w:rFonts w:ascii="Arial" w:hAnsi="Arial" w:cs="Arial"/>
                <w:b/>
              </w:rPr>
            </w:pPr>
          </w:p>
          <w:p w14:paraId="5CC4FA55" w14:textId="77777777" w:rsidR="00FB6570" w:rsidRPr="0073323E" w:rsidRDefault="00FB6570" w:rsidP="00FB6570">
            <w:pPr>
              <w:pStyle w:val="Prrafodelista"/>
              <w:numPr>
                <w:ilvl w:val="0"/>
                <w:numId w:val="15"/>
              </w:numPr>
              <w:tabs>
                <w:tab w:val="left" w:pos="6690"/>
              </w:tabs>
              <w:jc w:val="both"/>
              <w:rPr>
                <w:rFonts w:ascii="Arial" w:hAnsi="Arial" w:cs="Arial"/>
                <w:b/>
              </w:rPr>
            </w:pPr>
            <w:r w:rsidRPr="0073323E">
              <w:rPr>
                <w:rFonts w:ascii="Arial" w:hAnsi="Arial" w:cs="Arial"/>
              </w:rPr>
              <w:t>Incentivar la generación y uso del conocimiento producido en universidades, institutos y centros de investigación.</w:t>
            </w:r>
          </w:p>
          <w:p w14:paraId="0BC47FF3" w14:textId="77777777" w:rsidR="00FB6570" w:rsidRPr="0073323E" w:rsidRDefault="00FB6570" w:rsidP="00FB6570">
            <w:pPr>
              <w:pStyle w:val="Prrafodelista"/>
              <w:numPr>
                <w:ilvl w:val="0"/>
                <w:numId w:val="15"/>
              </w:numPr>
              <w:tabs>
                <w:tab w:val="left" w:pos="6690"/>
              </w:tabs>
              <w:jc w:val="both"/>
              <w:rPr>
                <w:rFonts w:ascii="Arial" w:hAnsi="Arial" w:cs="Arial"/>
                <w:b/>
              </w:rPr>
            </w:pPr>
            <w:r w:rsidRPr="0073323E">
              <w:rPr>
                <w:rFonts w:ascii="Arial" w:hAnsi="Arial" w:cs="Arial"/>
              </w:rPr>
              <w:t>Incrementar la eficiencia terminal en educación terciaria.</w:t>
            </w:r>
          </w:p>
          <w:p w14:paraId="0C6D446E" w14:textId="77777777" w:rsidR="00FB6570" w:rsidRPr="0073323E" w:rsidRDefault="00FB6570" w:rsidP="00FB6570">
            <w:pPr>
              <w:pStyle w:val="Prrafodelista"/>
              <w:numPr>
                <w:ilvl w:val="0"/>
                <w:numId w:val="15"/>
              </w:numPr>
              <w:tabs>
                <w:tab w:val="left" w:pos="6690"/>
              </w:tabs>
              <w:jc w:val="both"/>
              <w:rPr>
                <w:rFonts w:ascii="Arial" w:hAnsi="Arial" w:cs="Arial"/>
                <w:b/>
              </w:rPr>
            </w:pPr>
            <w:r w:rsidRPr="0073323E">
              <w:rPr>
                <w:rFonts w:ascii="Arial" w:hAnsi="Arial" w:cs="Arial"/>
              </w:rPr>
              <w:t>Ampliar el uso de la infraestructura de la información en los procesos del sector privado.</w:t>
            </w:r>
          </w:p>
          <w:p w14:paraId="56E6D772" w14:textId="77777777" w:rsidR="00FB6570" w:rsidRPr="00FC6135" w:rsidRDefault="00FB6570" w:rsidP="00FB6570">
            <w:pPr>
              <w:pStyle w:val="Prrafodelista"/>
              <w:numPr>
                <w:ilvl w:val="0"/>
                <w:numId w:val="15"/>
              </w:numPr>
              <w:tabs>
                <w:tab w:val="left" w:pos="6690"/>
              </w:tabs>
              <w:jc w:val="both"/>
              <w:rPr>
                <w:rFonts w:ascii="Arial" w:hAnsi="Arial" w:cs="Arial"/>
                <w:b/>
              </w:rPr>
            </w:pPr>
            <w:r w:rsidRPr="0073323E">
              <w:rPr>
                <w:rFonts w:ascii="Arial" w:hAnsi="Arial" w:cs="Arial"/>
              </w:rPr>
              <w:t>Fomentar el diseño y operación de sistemas de información a nivel local.</w:t>
            </w:r>
          </w:p>
          <w:p w14:paraId="70E4260C" w14:textId="77777777" w:rsidR="00FB6570" w:rsidRPr="00FC6135" w:rsidRDefault="00FB6570" w:rsidP="00FC6135">
            <w:pPr>
              <w:pStyle w:val="Prrafodelista"/>
              <w:numPr>
                <w:ilvl w:val="0"/>
                <w:numId w:val="15"/>
              </w:numPr>
              <w:tabs>
                <w:tab w:val="left" w:pos="6690"/>
              </w:tabs>
              <w:jc w:val="both"/>
              <w:rPr>
                <w:rFonts w:ascii="Arial" w:hAnsi="Arial" w:cs="Arial"/>
                <w:b/>
              </w:rPr>
            </w:pPr>
            <w:r w:rsidRPr="00FC6135">
              <w:rPr>
                <w:rFonts w:ascii="Arial" w:hAnsi="Arial" w:cs="Arial"/>
              </w:rPr>
              <w:t>Desarrollar las capacidades de generación, difusión y uso del conocimiento.</w:t>
            </w:r>
          </w:p>
          <w:p w14:paraId="7B94A14D" w14:textId="77777777" w:rsidR="00FB6570" w:rsidRPr="0073323E" w:rsidRDefault="00FB6570" w:rsidP="00FB6570">
            <w:pPr>
              <w:pStyle w:val="Prrafodelista"/>
              <w:tabs>
                <w:tab w:val="left" w:pos="6690"/>
              </w:tabs>
              <w:jc w:val="both"/>
              <w:rPr>
                <w:rFonts w:ascii="Arial" w:hAnsi="Arial" w:cs="Arial"/>
              </w:rPr>
            </w:pPr>
          </w:p>
        </w:tc>
      </w:tr>
    </w:tbl>
    <w:p w14:paraId="27A7C264" w14:textId="77777777" w:rsidR="008B5056" w:rsidRPr="008B5056" w:rsidRDefault="008B5056" w:rsidP="00585A15">
      <w:pPr>
        <w:tabs>
          <w:tab w:val="left" w:pos="6690"/>
        </w:tabs>
        <w:jc w:val="center"/>
        <w:rPr>
          <w:rFonts w:ascii="Arial" w:hAnsi="Arial" w:cs="Arial"/>
          <w:b/>
          <w:noProof/>
          <w:sz w:val="20"/>
          <w:szCs w:val="20"/>
          <w:lang w:val="es-ES"/>
        </w:rPr>
      </w:pPr>
    </w:p>
    <w:p w14:paraId="7DA9BF1C" w14:textId="77777777" w:rsidR="004233C0" w:rsidRDefault="004233C0" w:rsidP="003F49A1">
      <w:pPr>
        <w:tabs>
          <w:tab w:val="left" w:pos="6690"/>
        </w:tabs>
        <w:jc w:val="center"/>
        <w:rPr>
          <w:rFonts w:ascii="Arial" w:hAnsi="Arial" w:cs="Arial"/>
          <w:noProof/>
          <w:lang w:val="es-ES"/>
        </w:rPr>
      </w:pPr>
      <w:r w:rsidRPr="003F49A1">
        <w:rPr>
          <w:rFonts w:ascii="Times New Roman" w:hAnsi="Times New Roman" w:cs="Times New Roman"/>
          <w:b/>
          <w:szCs w:val="20"/>
        </w:rPr>
        <w:t>Nota:</w:t>
      </w:r>
      <w:r w:rsidRPr="003F49A1">
        <w:rPr>
          <w:rFonts w:ascii="Times New Roman" w:hAnsi="Times New Roman" w:cs="Times New Roman"/>
          <w:szCs w:val="20"/>
        </w:rPr>
        <w:t xml:space="preserve"> Creación propia.</w:t>
      </w:r>
    </w:p>
    <w:p w14:paraId="69D93890" w14:textId="77777777" w:rsidR="008B5056" w:rsidRDefault="008B5056" w:rsidP="00585A15">
      <w:pPr>
        <w:tabs>
          <w:tab w:val="left" w:pos="6690"/>
        </w:tabs>
        <w:jc w:val="center"/>
        <w:rPr>
          <w:rFonts w:ascii="Arial" w:hAnsi="Arial" w:cs="Arial"/>
          <w:b/>
          <w:noProof/>
          <w:sz w:val="20"/>
          <w:szCs w:val="20"/>
          <w:lang w:val="es-ES"/>
        </w:rPr>
      </w:pPr>
    </w:p>
    <w:p w14:paraId="4486AD0E" w14:textId="77777777" w:rsidR="004233C0" w:rsidRPr="008B5056" w:rsidRDefault="004233C0" w:rsidP="00585A15">
      <w:pPr>
        <w:tabs>
          <w:tab w:val="left" w:pos="6690"/>
        </w:tabs>
        <w:jc w:val="center"/>
        <w:rPr>
          <w:rFonts w:ascii="Arial" w:hAnsi="Arial" w:cs="Arial"/>
          <w:b/>
          <w:noProof/>
          <w:sz w:val="20"/>
          <w:szCs w:val="20"/>
          <w:lang w:val="es-ES"/>
        </w:rPr>
      </w:pPr>
    </w:p>
    <w:p w14:paraId="2FF114EF" w14:textId="77777777" w:rsidR="003F49A1" w:rsidRDefault="00592BF0" w:rsidP="00592BF0">
      <w:pPr>
        <w:spacing w:line="360" w:lineRule="auto"/>
        <w:jc w:val="both"/>
        <w:rPr>
          <w:rFonts w:ascii="Times New Roman" w:hAnsi="Times New Roman" w:cs="Times New Roman"/>
          <w:color w:val="1A1A1A"/>
          <w:lang w:val="es-ES"/>
        </w:rPr>
      </w:pPr>
      <w:r w:rsidRPr="003F49A1">
        <w:rPr>
          <w:rFonts w:ascii="Times New Roman" w:hAnsi="Times New Roman" w:cs="Times New Roman"/>
        </w:rPr>
        <w:t xml:space="preserve">Por lo que se refiere a la segunda fase, en el Programa Internacional de Evaluación de Estudiantes (PISA, por sus siglas en inglés) de la Organización para Cooperación y el Desarrollo Económico (OCDE), se tiene como referencia que las pruebas </w:t>
      </w:r>
      <w:r w:rsidRPr="003F49A1">
        <w:rPr>
          <w:rFonts w:ascii="Times New Roman" w:hAnsi="Times New Roman" w:cs="Times New Roman"/>
          <w:color w:val="1A1A1A"/>
          <w:lang w:val="es-ES"/>
        </w:rPr>
        <w:t xml:space="preserve">son aplicadas cada tres años. </w:t>
      </w:r>
      <w:r w:rsidRPr="003F49A1">
        <w:rPr>
          <w:rFonts w:ascii="Times New Roman" w:hAnsi="Times New Roman" w:cs="Times New Roman"/>
          <w:color w:val="000000"/>
          <w:lang w:val="es-ES"/>
        </w:rPr>
        <w:t xml:space="preserve">Actualmente </w:t>
      </w:r>
      <w:r w:rsidR="00FD1ABF" w:rsidRPr="003F49A1">
        <w:rPr>
          <w:rFonts w:ascii="Times New Roman" w:hAnsi="Times New Roman" w:cs="Times New Roman"/>
          <w:color w:val="000000"/>
          <w:lang w:val="es-ES"/>
        </w:rPr>
        <w:t>en el documento denominado</w:t>
      </w:r>
      <w:r w:rsidRPr="003F49A1">
        <w:rPr>
          <w:rFonts w:ascii="Times New Roman" w:hAnsi="Times New Roman" w:cs="Times New Roman"/>
          <w:color w:val="000000"/>
          <w:lang w:val="es-ES"/>
        </w:rPr>
        <w:t xml:space="preserve"> los resultados clave PISA 2015, OCDE (2016)</w:t>
      </w:r>
      <w:r w:rsidR="00FD1ABF" w:rsidRPr="003F49A1">
        <w:rPr>
          <w:rFonts w:ascii="Times New Roman" w:hAnsi="Times New Roman" w:cs="Times New Roman"/>
          <w:color w:val="000000"/>
          <w:lang w:val="es-ES"/>
        </w:rPr>
        <w:t xml:space="preserve">, indica que </w:t>
      </w:r>
      <w:r w:rsidRPr="003F49A1">
        <w:rPr>
          <w:rFonts w:ascii="Times New Roman" w:hAnsi="Times New Roman" w:cs="Times New Roman"/>
          <w:color w:val="000000"/>
          <w:lang w:val="es-ES"/>
        </w:rPr>
        <w:t>“evalúa hasta qué punto los estudiantes de 15 años,</w:t>
      </w:r>
      <w:r w:rsidRPr="003F49A1">
        <w:rPr>
          <w:rFonts w:ascii="MS Mincho" w:eastAsia="MS Mincho" w:hAnsi="MS Mincho" w:cs="MS Mincho" w:hint="eastAsia"/>
          <w:color w:val="000000"/>
          <w:lang w:val="es-ES"/>
        </w:rPr>
        <w:t> </w:t>
      </w:r>
      <w:r w:rsidRPr="003F49A1">
        <w:rPr>
          <w:rFonts w:ascii="Times New Roman" w:hAnsi="Times New Roman" w:cs="Times New Roman"/>
          <w:color w:val="000000"/>
          <w:lang w:val="es-ES"/>
        </w:rPr>
        <w:t>que están a punto de concluir su educación obligatoria, han</w:t>
      </w:r>
      <w:r w:rsidRPr="003F49A1">
        <w:rPr>
          <w:rFonts w:ascii="MS Mincho" w:eastAsia="MS Mincho" w:hAnsi="MS Mincho" w:cs="MS Mincho" w:hint="eastAsia"/>
          <w:color w:val="000000"/>
          <w:lang w:val="es-ES"/>
        </w:rPr>
        <w:t> </w:t>
      </w:r>
      <w:r w:rsidRPr="003F49A1">
        <w:rPr>
          <w:rFonts w:ascii="Times New Roman" w:hAnsi="Times New Roman" w:cs="Times New Roman"/>
          <w:color w:val="000000"/>
          <w:lang w:val="es-ES"/>
        </w:rPr>
        <w:t xml:space="preserve">adquirido los conocimientos y </w:t>
      </w:r>
      <w:r w:rsidRPr="003F49A1">
        <w:rPr>
          <w:rFonts w:ascii="Times New Roman" w:hAnsi="Times New Roman" w:cs="Times New Roman"/>
          <w:color w:val="000000"/>
          <w:lang w:val="es-ES"/>
        </w:rPr>
        <w:lastRenderedPageBreak/>
        <w:t>habilidades fundamentales para una participación plena en las sociedades modernas”(p.2).</w:t>
      </w:r>
      <w:r w:rsidRPr="003F49A1">
        <w:rPr>
          <w:rFonts w:ascii="MS Mincho" w:eastAsia="MS Mincho" w:hAnsi="MS Mincho" w:cs="MS Mincho" w:hint="eastAsia"/>
          <w:color w:val="000000"/>
          <w:lang w:val="es-ES"/>
        </w:rPr>
        <w:t> </w:t>
      </w:r>
    </w:p>
    <w:p w14:paraId="1AA354E5" w14:textId="18D49F54" w:rsidR="00592BF0" w:rsidRPr="003F49A1" w:rsidRDefault="00592BF0" w:rsidP="00592BF0">
      <w:pPr>
        <w:spacing w:line="360" w:lineRule="auto"/>
        <w:jc w:val="both"/>
        <w:rPr>
          <w:rFonts w:ascii="Times New Roman" w:hAnsi="Times New Roman" w:cs="Times New Roman"/>
        </w:rPr>
      </w:pPr>
      <w:r w:rsidRPr="003F49A1">
        <w:rPr>
          <w:rFonts w:ascii="Times New Roman" w:hAnsi="Times New Roman" w:cs="Times New Roman"/>
        </w:rPr>
        <w:t xml:space="preserve">Por otra parte,  en los resultados de la evaluación PISA (2015), se indica que “El desempeño de México se encuentra por debajo del promedio OCDE en ciencias (416 puntos), lectura (423 puntos) y matemáticas (408 puntos). En estas tres áreas, menos del 1% de los estudiantes en México logran alcanzar niveles de competencia de excelencia (nivel 5 y 6)” (p.1). </w:t>
      </w:r>
    </w:p>
    <w:p w14:paraId="71C2CB13" w14:textId="77777777" w:rsidR="00E5285F" w:rsidRPr="003F49A1" w:rsidRDefault="00E5285F" w:rsidP="00592BF0">
      <w:pPr>
        <w:spacing w:line="360" w:lineRule="auto"/>
        <w:jc w:val="both"/>
        <w:rPr>
          <w:rFonts w:ascii="Times New Roman" w:hAnsi="Times New Roman" w:cs="Times New Roman"/>
        </w:rPr>
      </w:pPr>
    </w:p>
    <w:p w14:paraId="2ABDF47C" w14:textId="77777777" w:rsidR="00E5285F" w:rsidRPr="003F49A1" w:rsidRDefault="00592BF0" w:rsidP="00592BF0">
      <w:pPr>
        <w:spacing w:line="360" w:lineRule="auto"/>
        <w:jc w:val="both"/>
        <w:rPr>
          <w:rFonts w:ascii="Times New Roman" w:hAnsi="Times New Roman" w:cs="Times New Roman"/>
          <w:color w:val="1A1A1A"/>
          <w:lang w:val="es-ES"/>
        </w:rPr>
      </w:pPr>
      <w:r w:rsidRPr="003F49A1">
        <w:rPr>
          <w:rFonts w:ascii="Times New Roman" w:hAnsi="Times New Roman" w:cs="Times New Roman"/>
        </w:rPr>
        <w:t>El propósito del programa, es evaluar la formación de los alumnos que están por concluir la secundaria, hacia los 15 años de edad, con el fin de ofrecer información que permita a los países miembros tomar decisiones e implementar las políticas públicas necesarias para mejorar los niveles educativos, sin embargo el tipo de muestra que utiliza infiere en la totalidad de la información obtenida en cada país, además el porcentaje de la muestra utilizada es menor al 1% de la población de escolares a nivel nacional. Otro de los aspectos que toma en cuenta en el desempeño de cada país es el contexto personal, familiar y escolar de los participantes, dicha información es recabada a través de un cuestionario dirigido al responsable de cada escuela, los datos contenidos en el instrumento, se enfocan a conocer el contexto del estudiante, las condiciones de su entorno, su familia, sus hábitos de estudio, así como las condiciones de la escuela.</w:t>
      </w:r>
      <w:r w:rsidRPr="003F49A1">
        <w:rPr>
          <w:rFonts w:ascii="Times New Roman" w:hAnsi="Times New Roman" w:cs="Times New Roman"/>
          <w:color w:val="1A1A1A"/>
          <w:lang w:val="es-ES"/>
        </w:rPr>
        <w:t xml:space="preserve"> </w:t>
      </w:r>
    </w:p>
    <w:p w14:paraId="73F7D105" w14:textId="77777777" w:rsidR="00E5285F" w:rsidRPr="003F49A1" w:rsidRDefault="00E5285F" w:rsidP="00592BF0">
      <w:pPr>
        <w:spacing w:line="360" w:lineRule="auto"/>
        <w:jc w:val="both"/>
        <w:rPr>
          <w:rFonts w:ascii="Times New Roman" w:hAnsi="Times New Roman" w:cs="Times New Roman"/>
          <w:color w:val="1A1A1A"/>
          <w:lang w:val="es-ES"/>
        </w:rPr>
      </w:pPr>
    </w:p>
    <w:p w14:paraId="23725E82" w14:textId="400E4977" w:rsidR="00592BF0" w:rsidRDefault="00592BF0" w:rsidP="00592BF0">
      <w:pPr>
        <w:spacing w:line="360" w:lineRule="auto"/>
        <w:jc w:val="both"/>
        <w:rPr>
          <w:rFonts w:ascii="Arial" w:hAnsi="Arial"/>
        </w:rPr>
      </w:pPr>
      <w:r w:rsidRPr="003F49A1">
        <w:rPr>
          <w:rFonts w:ascii="Times New Roman" w:hAnsi="Times New Roman" w:cs="Times New Roman"/>
          <w:color w:val="1A1A1A"/>
          <w:lang w:val="es-ES"/>
        </w:rPr>
        <w:t xml:space="preserve">Durante el análisis se identificó que </w:t>
      </w:r>
      <w:r w:rsidRPr="003F49A1">
        <w:rPr>
          <w:rFonts w:ascii="Times New Roman" w:hAnsi="Times New Roman" w:cs="Times New Roman"/>
        </w:rPr>
        <w:t>PISA, no evalúa el aprendizaje de contenidos específicos de los programas de las escuelas, ni tampoco evalúa el desempeño de los docentes, ni los programas vigentes. Lo que evalúa es la adquisición de destrezas y conocimientos adquiridos al llegar a los quince años de edad, es decir las competencias adquiridas durante su formación básica para que le permitan resolver problemas y situaciones de la vida, tampoco evalúa competencias generales como son la comunicativa, de colaboración o creatividad, ya que únicamente se enfoca a evaluar competencias básicas de lectura-escritura, matemáticas-cálculo y científica-m</w:t>
      </w:r>
      <w:r w:rsidR="007E6905" w:rsidRPr="003F49A1">
        <w:rPr>
          <w:rFonts w:ascii="Times New Roman" w:hAnsi="Times New Roman" w:cs="Times New Roman"/>
        </w:rPr>
        <w:t>anejo y uso de información, como se muestra</w:t>
      </w:r>
      <w:r w:rsidR="008B5056" w:rsidRPr="003F49A1">
        <w:rPr>
          <w:rFonts w:ascii="Times New Roman" w:hAnsi="Times New Roman" w:cs="Times New Roman"/>
        </w:rPr>
        <w:t xml:space="preserve"> en la tabla</w:t>
      </w:r>
      <w:r w:rsidR="000A5E42" w:rsidRPr="003F49A1">
        <w:rPr>
          <w:rFonts w:ascii="Times New Roman" w:hAnsi="Times New Roman" w:cs="Times New Roman"/>
        </w:rPr>
        <w:t xml:space="preserve"> número cinco</w:t>
      </w:r>
      <w:r w:rsidR="007E6905" w:rsidRPr="003F49A1">
        <w:rPr>
          <w:rFonts w:ascii="Times New Roman" w:hAnsi="Times New Roman" w:cs="Times New Roman"/>
        </w:rPr>
        <w:t>.</w:t>
      </w:r>
    </w:p>
    <w:p w14:paraId="3812DEE9" w14:textId="77777777" w:rsidR="00DD20FA" w:rsidRDefault="00DD20FA" w:rsidP="00DD20FA">
      <w:pPr>
        <w:spacing w:line="360" w:lineRule="auto"/>
        <w:jc w:val="center"/>
        <w:rPr>
          <w:rFonts w:ascii="Arial" w:hAnsi="Arial"/>
        </w:rPr>
      </w:pPr>
    </w:p>
    <w:p w14:paraId="24B899BA" w14:textId="12FC220F" w:rsidR="00592BF0" w:rsidRPr="003F49A1" w:rsidRDefault="008B5056" w:rsidP="003F49A1">
      <w:pPr>
        <w:tabs>
          <w:tab w:val="left" w:pos="6690"/>
        </w:tabs>
        <w:jc w:val="center"/>
        <w:rPr>
          <w:rFonts w:ascii="Times New Roman" w:hAnsi="Times New Roman" w:cs="Times New Roman"/>
          <w:noProof/>
          <w:sz w:val="18"/>
          <w:szCs w:val="18"/>
          <w:lang w:val="es-ES"/>
        </w:rPr>
      </w:pPr>
      <w:r w:rsidRPr="003F49A1">
        <w:rPr>
          <w:rFonts w:ascii="Times New Roman" w:hAnsi="Times New Roman" w:cs="Times New Roman"/>
          <w:b/>
          <w:noProof/>
          <w:szCs w:val="18"/>
          <w:lang w:val="es-ES"/>
        </w:rPr>
        <w:lastRenderedPageBreak/>
        <w:t>Tabla</w:t>
      </w:r>
      <w:r w:rsidR="00592BF0" w:rsidRPr="003F49A1">
        <w:rPr>
          <w:rFonts w:ascii="Times New Roman" w:hAnsi="Times New Roman" w:cs="Times New Roman"/>
          <w:b/>
          <w:noProof/>
          <w:szCs w:val="18"/>
          <w:lang w:val="es-ES"/>
        </w:rPr>
        <w:t xml:space="preserve"> </w:t>
      </w:r>
      <w:r w:rsidR="000A5E42" w:rsidRPr="003F49A1">
        <w:rPr>
          <w:rFonts w:ascii="Times New Roman" w:hAnsi="Times New Roman" w:cs="Times New Roman"/>
          <w:b/>
          <w:noProof/>
          <w:szCs w:val="18"/>
          <w:lang w:val="es-ES"/>
        </w:rPr>
        <w:t>5</w:t>
      </w:r>
      <w:r w:rsidR="003F49A1" w:rsidRPr="003F49A1">
        <w:rPr>
          <w:rFonts w:ascii="Times New Roman" w:hAnsi="Times New Roman" w:cs="Times New Roman"/>
          <w:b/>
          <w:noProof/>
          <w:szCs w:val="18"/>
          <w:lang w:val="es-ES"/>
        </w:rPr>
        <w:t>.</w:t>
      </w:r>
      <w:r w:rsidR="003F49A1" w:rsidRPr="003F49A1">
        <w:rPr>
          <w:rFonts w:ascii="Times New Roman" w:hAnsi="Times New Roman" w:cs="Times New Roman"/>
          <w:noProof/>
          <w:szCs w:val="18"/>
          <w:lang w:val="es-ES"/>
        </w:rPr>
        <w:t xml:space="preserve"> </w:t>
      </w:r>
      <w:r w:rsidR="00592BF0" w:rsidRPr="003F49A1">
        <w:rPr>
          <w:rFonts w:ascii="Times New Roman" w:hAnsi="Times New Roman" w:cs="Times New Roman"/>
          <w:noProof/>
          <w:szCs w:val="18"/>
          <w:lang w:val="es-ES"/>
        </w:rPr>
        <w:t>Características de las competencias que evalúa la OCDE en la prueba PISA</w:t>
      </w:r>
    </w:p>
    <w:p w14:paraId="22C3AB51" w14:textId="77777777" w:rsidR="001D5092" w:rsidRDefault="001D5092" w:rsidP="00592BF0">
      <w:pPr>
        <w:tabs>
          <w:tab w:val="left" w:pos="6690"/>
        </w:tabs>
        <w:jc w:val="center"/>
        <w:rPr>
          <w:rFonts w:ascii="Arial" w:hAnsi="Arial" w:cs="Arial"/>
          <w:b/>
          <w:noProof/>
          <w:sz w:val="18"/>
          <w:szCs w:val="18"/>
          <w:lang w:val="es-ES"/>
        </w:rPr>
      </w:pPr>
    </w:p>
    <w:p w14:paraId="47901273" w14:textId="7D209F50" w:rsidR="001D5092" w:rsidRPr="002F303D" w:rsidRDefault="001D5092" w:rsidP="00592BF0">
      <w:pPr>
        <w:tabs>
          <w:tab w:val="left" w:pos="6690"/>
        </w:tabs>
        <w:jc w:val="center"/>
        <w:rPr>
          <w:rFonts w:ascii="Arial" w:hAnsi="Arial" w:cs="Arial"/>
          <w:b/>
          <w:sz w:val="18"/>
          <w:szCs w:val="18"/>
        </w:rPr>
      </w:pPr>
      <w:r>
        <w:rPr>
          <w:rFonts w:ascii="Arial" w:hAnsi="Arial" w:cs="Arial"/>
          <w:noProof/>
          <w:color w:val="1A1A1A"/>
          <w:lang w:val="es-ES"/>
        </w:rPr>
        <w:drawing>
          <wp:inline distT="0" distB="0" distL="0" distR="0" wp14:anchorId="678CC296" wp14:editId="1E11DE85">
            <wp:extent cx="5193798" cy="485753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jpg"/>
                    <pic:cNvPicPr/>
                  </pic:nvPicPr>
                  <pic:blipFill>
                    <a:blip r:embed="rId9">
                      <a:extLst>
                        <a:ext uri="{28A0092B-C50C-407E-A947-70E740481C1C}">
                          <a14:useLocalDpi xmlns:a14="http://schemas.microsoft.com/office/drawing/2010/main" val="0"/>
                        </a:ext>
                      </a:extLst>
                    </a:blip>
                    <a:stretch>
                      <a:fillRect/>
                    </a:stretch>
                  </pic:blipFill>
                  <pic:spPr>
                    <a:xfrm>
                      <a:off x="0" y="0"/>
                      <a:ext cx="5195164" cy="4858817"/>
                    </a:xfrm>
                    <a:prstGeom prst="rect">
                      <a:avLst/>
                    </a:prstGeom>
                  </pic:spPr>
                </pic:pic>
              </a:graphicData>
            </a:graphic>
          </wp:inline>
        </w:drawing>
      </w:r>
    </w:p>
    <w:p w14:paraId="1B01D9C8" w14:textId="77777777" w:rsidR="0098665E" w:rsidRDefault="0098665E" w:rsidP="00592BF0">
      <w:pPr>
        <w:spacing w:line="360" w:lineRule="auto"/>
        <w:jc w:val="both"/>
        <w:rPr>
          <w:rFonts w:ascii="Arial" w:hAnsi="Arial" w:cs="Arial"/>
          <w:b/>
          <w:sz w:val="18"/>
          <w:szCs w:val="18"/>
        </w:rPr>
      </w:pPr>
    </w:p>
    <w:p w14:paraId="450A1471" w14:textId="077CBF86" w:rsidR="00592BF0" w:rsidRPr="003F49A1" w:rsidRDefault="00A27666" w:rsidP="003F49A1">
      <w:pPr>
        <w:spacing w:line="360" w:lineRule="auto"/>
        <w:jc w:val="center"/>
        <w:rPr>
          <w:rFonts w:ascii="Times New Roman" w:hAnsi="Times New Roman" w:cs="Times New Roman"/>
        </w:rPr>
      </w:pPr>
      <w:r w:rsidRPr="003F49A1">
        <w:rPr>
          <w:rFonts w:ascii="Times New Roman" w:hAnsi="Times New Roman" w:cs="Times New Roman"/>
          <w:b/>
        </w:rPr>
        <w:t>Nota:</w:t>
      </w:r>
      <w:r w:rsidRPr="003F49A1">
        <w:rPr>
          <w:rFonts w:ascii="Times New Roman" w:hAnsi="Times New Roman" w:cs="Times New Roman"/>
        </w:rPr>
        <w:t xml:space="preserve"> Adaptado de PISA (2015).</w:t>
      </w:r>
    </w:p>
    <w:p w14:paraId="51BB6377" w14:textId="77777777" w:rsidR="00592BF0" w:rsidRPr="003F49A1" w:rsidRDefault="00592BF0" w:rsidP="00592BF0">
      <w:pPr>
        <w:spacing w:line="360" w:lineRule="auto"/>
        <w:jc w:val="both"/>
        <w:rPr>
          <w:rFonts w:ascii="Times New Roman" w:hAnsi="Times New Roman" w:cs="Times New Roman"/>
        </w:rPr>
      </w:pPr>
      <w:r w:rsidRPr="003F49A1">
        <w:rPr>
          <w:rFonts w:ascii="Times New Roman" w:hAnsi="Times New Roman" w:cs="Times New Roman"/>
        </w:rPr>
        <w:t>Hay que mencionar además que otra de las problemáticas que aún persiste es el rezago educativo, el cual se refiere a la población de 15 años o más que no sabe leer ni escribir o también que no han concluido su primaria o secundaria, lo que implica una limitación para el desarrollo personal, familiar y social, es decir que se encuentra en desigualdad de oportunidades, respecto a las personas alfabetas (INEGI,2015).</w:t>
      </w:r>
    </w:p>
    <w:p w14:paraId="47E4BD6F" w14:textId="77777777" w:rsidR="00E6369F" w:rsidRPr="003F49A1" w:rsidRDefault="00E6369F" w:rsidP="00757846">
      <w:pPr>
        <w:spacing w:line="360" w:lineRule="auto"/>
        <w:jc w:val="both"/>
        <w:rPr>
          <w:rFonts w:ascii="Times New Roman" w:hAnsi="Times New Roman" w:cs="Times New Roman"/>
        </w:rPr>
      </w:pPr>
    </w:p>
    <w:p w14:paraId="06F245CC" w14:textId="77777777" w:rsidR="00E6369F" w:rsidRPr="003F49A1" w:rsidRDefault="00757846" w:rsidP="00757846">
      <w:pPr>
        <w:spacing w:line="360" w:lineRule="auto"/>
        <w:jc w:val="both"/>
        <w:rPr>
          <w:rFonts w:ascii="Times New Roman" w:hAnsi="Times New Roman" w:cs="Times New Roman"/>
          <w:lang w:val="es-ES"/>
        </w:rPr>
      </w:pPr>
      <w:r w:rsidRPr="003F49A1">
        <w:rPr>
          <w:rFonts w:ascii="Times New Roman" w:hAnsi="Times New Roman" w:cs="Times New Roman"/>
          <w:lang w:val="es-ES"/>
        </w:rPr>
        <w:t xml:space="preserve">Además en la tercera fase, se analizaron los parámetros de la Red de Indicadores de Ciencia y Tecnología Iberoamericana e Interamericana (RICYT), que está conformada por </w:t>
      </w:r>
      <w:r w:rsidR="00AF0BDC" w:rsidRPr="003F49A1">
        <w:rPr>
          <w:rFonts w:ascii="Times New Roman" w:hAnsi="Times New Roman" w:cs="Times New Roman"/>
          <w:lang w:val="es-ES"/>
        </w:rPr>
        <w:lastRenderedPageBreak/>
        <w:t>65</w:t>
      </w:r>
      <w:r w:rsidRPr="003F49A1">
        <w:rPr>
          <w:rFonts w:ascii="Times New Roman" w:hAnsi="Times New Roman" w:cs="Times New Roman"/>
          <w:lang w:val="es-ES"/>
        </w:rPr>
        <w:t xml:space="preserve"> indicadores comparativos que contiene información del estado de la ciencia en 28 países de Iberoamérica y el Caribe. </w:t>
      </w:r>
    </w:p>
    <w:p w14:paraId="301AA2FF" w14:textId="77777777" w:rsidR="00E6369F" w:rsidRPr="003F49A1" w:rsidRDefault="00E6369F" w:rsidP="00757846">
      <w:pPr>
        <w:spacing w:line="360" w:lineRule="auto"/>
        <w:jc w:val="both"/>
        <w:rPr>
          <w:rFonts w:ascii="Times New Roman" w:hAnsi="Times New Roman" w:cs="Times New Roman"/>
          <w:lang w:val="es-ES"/>
        </w:rPr>
      </w:pPr>
    </w:p>
    <w:p w14:paraId="00426C2C" w14:textId="176C4834" w:rsidR="00E6369F" w:rsidRPr="003F49A1" w:rsidRDefault="00757846" w:rsidP="00757846">
      <w:pPr>
        <w:spacing w:line="360" w:lineRule="auto"/>
        <w:jc w:val="both"/>
        <w:rPr>
          <w:rFonts w:ascii="Times New Roman" w:hAnsi="Times New Roman" w:cs="Times New Roman"/>
          <w:lang w:val="es-ES"/>
        </w:rPr>
      </w:pPr>
      <w:r w:rsidRPr="003F49A1">
        <w:rPr>
          <w:rFonts w:ascii="Times New Roman" w:hAnsi="Times New Roman" w:cs="Times New Roman"/>
        </w:rPr>
        <w:t xml:space="preserve">Los </w:t>
      </w:r>
      <w:r w:rsidR="008436D6" w:rsidRPr="003F49A1">
        <w:rPr>
          <w:rFonts w:ascii="Times New Roman" w:hAnsi="Times New Roman" w:cs="Times New Roman"/>
        </w:rPr>
        <w:t xml:space="preserve">indicadores </w:t>
      </w:r>
      <w:r w:rsidRPr="003F49A1">
        <w:rPr>
          <w:rFonts w:ascii="Times New Roman" w:hAnsi="Times New Roman" w:cs="Times New Roman"/>
        </w:rPr>
        <w:t>es</w:t>
      </w:r>
      <w:r w:rsidR="008436D6" w:rsidRPr="003F49A1">
        <w:rPr>
          <w:rFonts w:ascii="Times New Roman" w:hAnsi="Times New Roman" w:cs="Times New Roman"/>
        </w:rPr>
        <w:t>tán agrupados en cinco grupos</w:t>
      </w:r>
      <w:r w:rsidRPr="003F49A1">
        <w:rPr>
          <w:rFonts w:ascii="Times New Roman" w:hAnsi="Times New Roman" w:cs="Times New Roman"/>
        </w:rPr>
        <w:t>:</w:t>
      </w:r>
      <w:r w:rsidR="008436D6" w:rsidRPr="003F49A1">
        <w:rPr>
          <w:rFonts w:ascii="Times New Roman" w:hAnsi="Times New Roman" w:cs="Times New Roman"/>
        </w:rPr>
        <w:t xml:space="preserve"> </w:t>
      </w:r>
      <w:r w:rsidR="008436D6" w:rsidRPr="003F49A1">
        <w:rPr>
          <w:rFonts w:ascii="Times New Roman" w:hAnsi="Times New Roman" w:cs="Times New Roman"/>
          <w:lang w:val="es-ES"/>
        </w:rPr>
        <w:t>Indicadores de Contexto, Indicadores de Insumo, Graduados de Educación Superior, Indicadores de Patentes e Indicadores Bibliométricos</w:t>
      </w:r>
      <w:r w:rsidR="004030FB" w:rsidRPr="003F49A1">
        <w:rPr>
          <w:rFonts w:ascii="Times New Roman" w:hAnsi="Times New Roman" w:cs="Times New Roman"/>
          <w:lang w:val="es-ES"/>
        </w:rPr>
        <w:t xml:space="preserve">, en donde se observa que la participación de México en el patentamiento únicamente incrementó el 1% en el 2015, respeto a los datos del 2007, </w:t>
      </w:r>
      <w:r w:rsidR="00180C7D" w:rsidRPr="003F49A1">
        <w:rPr>
          <w:rFonts w:ascii="Times New Roman" w:hAnsi="Times New Roman" w:cs="Times New Roman"/>
          <w:lang w:val="es-ES"/>
        </w:rPr>
        <w:t xml:space="preserve">además </w:t>
      </w:r>
      <w:r w:rsidR="00940767" w:rsidRPr="003F49A1">
        <w:rPr>
          <w:rFonts w:ascii="Times New Roman" w:hAnsi="Times New Roman" w:cs="Times New Roman"/>
          <w:lang w:val="es-ES"/>
        </w:rPr>
        <w:t>tiene un 27% más de inventores que titulares, es decir que por cada 1.</w:t>
      </w:r>
      <w:r w:rsidR="008648F2" w:rsidRPr="003F49A1">
        <w:rPr>
          <w:rFonts w:ascii="Times New Roman" w:hAnsi="Times New Roman" w:cs="Times New Roman"/>
          <w:lang w:val="es-ES"/>
        </w:rPr>
        <w:t xml:space="preserve">27 </w:t>
      </w:r>
      <w:r w:rsidR="00940767" w:rsidRPr="003F49A1">
        <w:rPr>
          <w:rFonts w:ascii="Times New Roman" w:hAnsi="Times New Roman" w:cs="Times New Roman"/>
          <w:lang w:val="es-ES"/>
        </w:rPr>
        <w:t xml:space="preserve"> inventores hay un titular de patentes.</w:t>
      </w:r>
      <w:r w:rsidR="008648F2" w:rsidRPr="003F49A1">
        <w:rPr>
          <w:rFonts w:ascii="Times New Roman" w:hAnsi="Times New Roman" w:cs="Times New Roman"/>
          <w:lang w:val="es-ES"/>
        </w:rPr>
        <w:t xml:space="preserve"> Su participación en los principales códigos de clasificación son las siguientes: </w:t>
      </w:r>
      <w:r w:rsidR="000478A2" w:rsidRPr="003F49A1">
        <w:rPr>
          <w:rFonts w:ascii="Times New Roman" w:hAnsi="Times New Roman" w:cs="Times New Roman"/>
          <w:lang w:val="es-ES"/>
        </w:rPr>
        <w:t>239 en i</w:t>
      </w:r>
      <w:r w:rsidR="008648F2" w:rsidRPr="003F49A1">
        <w:rPr>
          <w:rFonts w:ascii="Times New Roman" w:hAnsi="Times New Roman" w:cs="Times New Roman"/>
          <w:lang w:val="es-ES"/>
        </w:rPr>
        <w:t xml:space="preserve">ndustria farmacéutica y cosmética (A61K), </w:t>
      </w:r>
      <w:r w:rsidR="000478A2" w:rsidRPr="003F49A1">
        <w:rPr>
          <w:rFonts w:ascii="Times New Roman" w:hAnsi="Times New Roman" w:cs="Times New Roman"/>
          <w:lang w:val="es-ES"/>
        </w:rPr>
        <w:t xml:space="preserve">139 en </w:t>
      </w:r>
      <w:r w:rsidR="008648F2" w:rsidRPr="003F49A1">
        <w:rPr>
          <w:rFonts w:ascii="Times New Roman" w:hAnsi="Times New Roman" w:cs="Times New Roman"/>
          <w:lang w:val="es-ES"/>
        </w:rPr>
        <w:t>activos terapéuticos de componentes químicos o preparados médicos (A</w:t>
      </w:r>
      <w:r w:rsidR="00C65ADE" w:rsidRPr="003F49A1">
        <w:rPr>
          <w:rFonts w:ascii="Times New Roman" w:hAnsi="Times New Roman" w:cs="Times New Roman"/>
          <w:lang w:val="es-ES"/>
        </w:rPr>
        <w:t>61P)</w:t>
      </w:r>
      <w:r w:rsidR="000478A2" w:rsidRPr="003F49A1">
        <w:rPr>
          <w:rFonts w:ascii="Times New Roman" w:hAnsi="Times New Roman" w:cs="Times New Roman"/>
          <w:lang w:val="es-ES"/>
        </w:rPr>
        <w:t>, 45 en investigación y análisis de materiales para determinar sus propiedades físicas y químicas (G01N)</w:t>
      </w:r>
      <w:r w:rsidR="00D762E1" w:rsidRPr="003F49A1">
        <w:rPr>
          <w:rFonts w:ascii="Times New Roman" w:hAnsi="Times New Roman" w:cs="Times New Roman"/>
          <w:lang w:val="es-ES"/>
        </w:rPr>
        <w:t>,</w:t>
      </w:r>
      <w:r w:rsidR="00F343EE" w:rsidRPr="003F49A1">
        <w:rPr>
          <w:rFonts w:ascii="Times New Roman" w:hAnsi="Times New Roman" w:cs="Times New Roman"/>
          <w:lang w:val="es-ES"/>
        </w:rPr>
        <w:t xml:space="preserve"> ocupa el tercer lugar con un 8% de patentes en</w:t>
      </w:r>
      <w:r w:rsidR="00D762E1" w:rsidRPr="003F49A1">
        <w:rPr>
          <w:rFonts w:ascii="Times New Roman" w:hAnsi="Times New Roman" w:cs="Times New Roman"/>
          <w:lang w:val="es-ES"/>
        </w:rPr>
        <w:t xml:space="preserve"> contenedores para almacenamiento o transporte de artículos o materiales (B65D)</w:t>
      </w:r>
      <w:r w:rsidR="00F343EE" w:rsidRPr="003F49A1">
        <w:rPr>
          <w:rFonts w:ascii="Times New Roman" w:hAnsi="Times New Roman" w:cs="Times New Roman"/>
          <w:lang w:val="es-ES"/>
        </w:rPr>
        <w:t xml:space="preserve">, es importante destacar que su participación es escasa en </w:t>
      </w:r>
      <w:r w:rsidR="009C2EE9" w:rsidRPr="003F49A1">
        <w:rPr>
          <w:rFonts w:ascii="Times New Roman" w:hAnsi="Times New Roman" w:cs="Times New Roman"/>
          <w:lang w:val="es-ES"/>
        </w:rPr>
        <w:t>el contexto del volumen mundial de patentes lo que refleja una baja inversión en investigación y desarrollo I+D y en la autoría de artículos científicos indexados en las principales bases de datos bibliog</w:t>
      </w:r>
      <w:r w:rsidR="00906F23" w:rsidRPr="003F49A1">
        <w:rPr>
          <w:rFonts w:ascii="Times New Roman" w:hAnsi="Times New Roman" w:cs="Times New Roman"/>
          <w:lang w:val="es-ES"/>
        </w:rPr>
        <w:t xml:space="preserve">ráficas internacionales. </w:t>
      </w:r>
    </w:p>
    <w:p w14:paraId="1ED25ACE" w14:textId="77777777" w:rsidR="00E6369F" w:rsidRPr="003F49A1" w:rsidRDefault="00E6369F" w:rsidP="00757846">
      <w:pPr>
        <w:spacing w:line="360" w:lineRule="auto"/>
        <w:jc w:val="both"/>
        <w:rPr>
          <w:rFonts w:ascii="Times New Roman" w:hAnsi="Times New Roman" w:cs="Times New Roman"/>
          <w:lang w:val="es-ES"/>
        </w:rPr>
      </w:pPr>
    </w:p>
    <w:p w14:paraId="797F6612" w14:textId="0F3C7E9F" w:rsidR="006D58FE" w:rsidRPr="003F49A1" w:rsidRDefault="006D58FE" w:rsidP="00757846">
      <w:pPr>
        <w:spacing w:line="360" w:lineRule="auto"/>
        <w:jc w:val="both"/>
        <w:rPr>
          <w:rFonts w:ascii="Times New Roman" w:hAnsi="Times New Roman" w:cs="Times New Roman"/>
          <w:lang w:val="es-ES"/>
        </w:rPr>
      </w:pPr>
      <w:r w:rsidRPr="003F49A1">
        <w:rPr>
          <w:rFonts w:ascii="Times New Roman" w:hAnsi="Times New Roman" w:cs="Times New Roman"/>
          <w:lang w:val="es-ES"/>
        </w:rPr>
        <w:t>En lo que se refiere a la participación de instrumentos y políticas de ciencia, tecnología e innovación, a partir del 2014 implementó áreas estratégicas para incrementar la participación en fondos sectoriales, además de establecer 55</w:t>
      </w:r>
      <w:r w:rsidR="0060478C" w:rsidRPr="003F49A1">
        <w:rPr>
          <w:rFonts w:ascii="Times New Roman" w:hAnsi="Times New Roman" w:cs="Times New Roman"/>
          <w:lang w:val="es-ES"/>
        </w:rPr>
        <w:t xml:space="preserve"> i</w:t>
      </w:r>
      <w:r w:rsidR="00E544B4" w:rsidRPr="003F49A1">
        <w:rPr>
          <w:rFonts w:ascii="Times New Roman" w:hAnsi="Times New Roman" w:cs="Times New Roman"/>
          <w:lang w:val="es-ES"/>
        </w:rPr>
        <w:t xml:space="preserve">nstrumentos, distribuidos de la siguiente </w:t>
      </w:r>
      <w:r w:rsidR="00B77008" w:rsidRPr="003F49A1">
        <w:rPr>
          <w:rFonts w:ascii="Times New Roman" w:hAnsi="Times New Roman" w:cs="Times New Roman"/>
          <w:lang w:val="es-ES"/>
        </w:rPr>
        <w:t xml:space="preserve">forma: 9 </w:t>
      </w:r>
      <w:r w:rsidR="00E544B4" w:rsidRPr="003F49A1">
        <w:rPr>
          <w:rFonts w:ascii="Times New Roman" w:hAnsi="Times New Roman" w:cs="Times New Roman"/>
          <w:lang w:val="es-ES"/>
        </w:rPr>
        <w:t>en</w:t>
      </w:r>
      <w:r w:rsidRPr="003F49A1">
        <w:rPr>
          <w:rFonts w:ascii="Times New Roman" w:hAnsi="Times New Roman" w:cs="Times New Roman"/>
          <w:lang w:val="es-ES"/>
        </w:rPr>
        <w:t xml:space="preserve"> investigación, </w:t>
      </w:r>
      <w:r w:rsidR="00E544B4" w:rsidRPr="003F49A1">
        <w:rPr>
          <w:rFonts w:ascii="Times New Roman" w:hAnsi="Times New Roman" w:cs="Times New Roman"/>
          <w:lang w:val="es-ES"/>
        </w:rPr>
        <w:t>9 en</w:t>
      </w:r>
      <w:r w:rsidR="0060478C" w:rsidRPr="003F49A1">
        <w:rPr>
          <w:rFonts w:ascii="Times New Roman" w:hAnsi="Times New Roman" w:cs="Times New Roman"/>
          <w:lang w:val="es-ES"/>
        </w:rPr>
        <w:t xml:space="preserve"> </w:t>
      </w:r>
      <w:r w:rsidRPr="003F49A1">
        <w:rPr>
          <w:rFonts w:ascii="Times New Roman" w:hAnsi="Times New Roman" w:cs="Times New Roman"/>
          <w:lang w:val="es-ES"/>
        </w:rPr>
        <w:t>innovación</w:t>
      </w:r>
      <w:r w:rsidR="0060478C" w:rsidRPr="003F49A1">
        <w:rPr>
          <w:rFonts w:ascii="Times New Roman" w:hAnsi="Times New Roman" w:cs="Times New Roman"/>
          <w:lang w:val="es-ES"/>
        </w:rPr>
        <w:t xml:space="preserve">, </w:t>
      </w:r>
      <w:r w:rsidR="00E544B4" w:rsidRPr="003F49A1">
        <w:rPr>
          <w:rFonts w:ascii="Times New Roman" w:hAnsi="Times New Roman" w:cs="Times New Roman"/>
          <w:lang w:val="es-ES"/>
        </w:rPr>
        <w:t>12 en</w:t>
      </w:r>
      <w:r w:rsidR="0060478C" w:rsidRPr="003F49A1">
        <w:rPr>
          <w:rFonts w:ascii="Times New Roman" w:hAnsi="Times New Roman" w:cs="Times New Roman"/>
          <w:lang w:val="es-ES"/>
        </w:rPr>
        <w:t xml:space="preserve"> formación del RRHH, </w:t>
      </w:r>
      <w:r w:rsidR="00E544B4" w:rsidRPr="003F49A1">
        <w:rPr>
          <w:rFonts w:ascii="Times New Roman" w:hAnsi="Times New Roman" w:cs="Times New Roman"/>
          <w:lang w:val="es-ES"/>
        </w:rPr>
        <w:t>18 en</w:t>
      </w:r>
      <w:r w:rsidR="0060478C" w:rsidRPr="003F49A1">
        <w:rPr>
          <w:rFonts w:ascii="Times New Roman" w:hAnsi="Times New Roman" w:cs="Times New Roman"/>
          <w:lang w:val="es-ES"/>
        </w:rPr>
        <w:t xml:space="preserve"> áreas estratégicas y 7 en articulación de SNI</w:t>
      </w:r>
      <w:r w:rsidR="00256415" w:rsidRPr="003F49A1">
        <w:rPr>
          <w:rFonts w:ascii="Times New Roman" w:hAnsi="Times New Roman" w:cs="Times New Roman"/>
          <w:lang w:val="es-ES"/>
        </w:rPr>
        <w:t>. (Ricyt, 2016)</w:t>
      </w:r>
    </w:p>
    <w:p w14:paraId="2EB8CDD2" w14:textId="77777777" w:rsidR="00DE4600" w:rsidRPr="003F49A1" w:rsidRDefault="00DE4600" w:rsidP="00757846">
      <w:pPr>
        <w:spacing w:line="360" w:lineRule="auto"/>
        <w:jc w:val="both"/>
        <w:rPr>
          <w:rFonts w:ascii="Times New Roman" w:hAnsi="Times New Roman" w:cs="Times New Roman"/>
          <w:lang w:val="es-ES"/>
        </w:rPr>
      </w:pPr>
    </w:p>
    <w:p w14:paraId="4C14E605" w14:textId="77777777" w:rsidR="00E6369F" w:rsidRPr="003F49A1" w:rsidRDefault="00EB1274" w:rsidP="00757846">
      <w:pPr>
        <w:spacing w:line="360" w:lineRule="auto"/>
        <w:jc w:val="both"/>
        <w:rPr>
          <w:rFonts w:ascii="Times New Roman" w:hAnsi="Times New Roman" w:cs="Times New Roman"/>
          <w:lang w:val="es-ES"/>
        </w:rPr>
      </w:pPr>
      <w:r w:rsidRPr="003F49A1">
        <w:rPr>
          <w:rFonts w:ascii="Times New Roman" w:hAnsi="Times New Roman" w:cs="Times New Roman"/>
          <w:lang w:val="es-ES"/>
        </w:rPr>
        <w:t>Asimismo, al proseguir con el análisis en la cuarta etapa se investigó acerca del índice de competitividad global</w:t>
      </w:r>
      <w:r w:rsidR="00610A44" w:rsidRPr="003F49A1">
        <w:rPr>
          <w:rFonts w:ascii="Times New Roman" w:hAnsi="Times New Roman" w:cs="Times New Roman"/>
          <w:lang w:val="es-ES"/>
        </w:rPr>
        <w:t>, el cual evalúa el desempeño de las economías más productivas a nivel global, a través de 109 variables y 12 pilares agrupados en 3 subíndices</w:t>
      </w:r>
      <w:r w:rsidR="002B6497" w:rsidRPr="003F49A1">
        <w:rPr>
          <w:rFonts w:ascii="Times New Roman" w:hAnsi="Times New Roman" w:cs="Times New Roman"/>
          <w:lang w:val="es-ES"/>
        </w:rPr>
        <w:t>, en donde México avanzó 6 posiciones</w:t>
      </w:r>
      <w:r w:rsidR="00732C7B" w:rsidRPr="003F49A1">
        <w:rPr>
          <w:rFonts w:ascii="Times New Roman" w:hAnsi="Times New Roman" w:cs="Times New Roman"/>
          <w:lang w:val="es-ES"/>
        </w:rPr>
        <w:t xml:space="preserve"> respecto al periodo anterior, al quedar en el lugar 51 de 138 países, con una puntuación de 4.41 en el periodo 2016-2017.</w:t>
      </w:r>
      <w:r w:rsidR="00661615" w:rsidRPr="003F49A1">
        <w:rPr>
          <w:rFonts w:ascii="Times New Roman" w:hAnsi="Times New Roman" w:cs="Times New Roman"/>
          <w:lang w:val="es-ES"/>
        </w:rPr>
        <w:t xml:space="preserve"> </w:t>
      </w:r>
    </w:p>
    <w:p w14:paraId="36F215FD" w14:textId="77777777" w:rsidR="00E6369F" w:rsidRPr="003F49A1" w:rsidRDefault="00E6369F" w:rsidP="00757846">
      <w:pPr>
        <w:spacing w:line="360" w:lineRule="auto"/>
        <w:jc w:val="both"/>
        <w:rPr>
          <w:rFonts w:ascii="Times New Roman" w:hAnsi="Times New Roman" w:cs="Times New Roman"/>
          <w:lang w:val="es-ES"/>
        </w:rPr>
      </w:pPr>
    </w:p>
    <w:p w14:paraId="2030CFA6" w14:textId="58C92089" w:rsidR="006D58FE" w:rsidRPr="003F49A1" w:rsidRDefault="00661615" w:rsidP="00757846">
      <w:pPr>
        <w:spacing w:line="360" w:lineRule="auto"/>
        <w:jc w:val="both"/>
        <w:rPr>
          <w:rFonts w:ascii="Times New Roman" w:hAnsi="Times New Roman" w:cs="Times New Roman"/>
          <w:lang w:val="es-ES"/>
        </w:rPr>
      </w:pPr>
      <w:r w:rsidRPr="003F49A1">
        <w:rPr>
          <w:rFonts w:ascii="Times New Roman" w:hAnsi="Times New Roman" w:cs="Times New Roman"/>
          <w:lang w:val="es-ES"/>
        </w:rPr>
        <w:lastRenderedPageBreak/>
        <w:t>El avance se debe principalmente a</w:t>
      </w:r>
      <w:r w:rsidR="002B6497" w:rsidRPr="003F49A1">
        <w:rPr>
          <w:rFonts w:ascii="Times New Roman" w:hAnsi="Times New Roman" w:cs="Times New Roman"/>
          <w:lang w:val="es-ES"/>
        </w:rPr>
        <w:t xml:space="preserve"> </w:t>
      </w:r>
      <w:r w:rsidRPr="003F49A1">
        <w:rPr>
          <w:rFonts w:ascii="Times New Roman" w:hAnsi="Times New Roman" w:cs="Times New Roman"/>
          <w:lang w:val="es-ES"/>
        </w:rPr>
        <w:t>la eficiente mejora de sus mercados derivados de las reformas en política comercial, sin embargo perdió 14 posiciones en la trasferencia</w:t>
      </w:r>
      <w:r w:rsidR="006A3E7F" w:rsidRPr="003F49A1">
        <w:rPr>
          <w:rFonts w:ascii="Times New Roman" w:hAnsi="Times New Roman" w:cs="Times New Roman"/>
          <w:lang w:val="es-ES"/>
        </w:rPr>
        <w:t xml:space="preserve"> y confiabilidad de las instituciones </w:t>
      </w:r>
      <w:r w:rsidR="009453AC" w:rsidRPr="003F49A1">
        <w:rPr>
          <w:rFonts w:ascii="Times New Roman" w:hAnsi="Times New Roman" w:cs="Times New Roman"/>
          <w:lang w:val="es-ES"/>
        </w:rPr>
        <w:t>en donde destacó como principal problema la corrupción, el crimen y el robo, así como la ineficiente burocracia del gobierno</w:t>
      </w:r>
      <w:r w:rsidR="00B9230D" w:rsidRPr="003F49A1">
        <w:rPr>
          <w:rFonts w:ascii="Times New Roman" w:hAnsi="Times New Roman" w:cs="Times New Roman"/>
          <w:lang w:val="es-ES"/>
        </w:rPr>
        <w:t xml:space="preserve">. También perdió </w:t>
      </w:r>
      <w:r w:rsidR="006A3E7F" w:rsidRPr="003F49A1">
        <w:rPr>
          <w:rFonts w:ascii="Times New Roman" w:hAnsi="Times New Roman" w:cs="Times New Roman"/>
          <w:lang w:val="es-ES"/>
        </w:rPr>
        <w:t>3 posiciones en</w:t>
      </w:r>
      <w:r w:rsidR="00B9230D" w:rsidRPr="003F49A1">
        <w:rPr>
          <w:rFonts w:ascii="Times New Roman" w:hAnsi="Times New Roman" w:cs="Times New Roman"/>
          <w:lang w:val="es-ES"/>
        </w:rPr>
        <w:t xml:space="preserve"> salud y educación básica lo cual limita el crecimiento económico y el desarrollo. (FEM, 2016-2017)</w:t>
      </w:r>
    </w:p>
    <w:p w14:paraId="5CFE8B76" w14:textId="77777777" w:rsidR="001A4E0B" w:rsidRPr="003F49A1" w:rsidRDefault="001A4E0B" w:rsidP="002D2C90">
      <w:pPr>
        <w:tabs>
          <w:tab w:val="left" w:pos="490"/>
        </w:tabs>
        <w:spacing w:line="360" w:lineRule="auto"/>
        <w:jc w:val="both"/>
        <w:rPr>
          <w:rFonts w:ascii="Times New Roman" w:hAnsi="Times New Roman" w:cs="Times New Roman"/>
          <w:lang w:val="es-ES"/>
        </w:rPr>
      </w:pPr>
    </w:p>
    <w:p w14:paraId="56092F5A" w14:textId="0DB03CB2" w:rsidR="00E6369F" w:rsidRDefault="009E483D" w:rsidP="002D2C90">
      <w:pPr>
        <w:tabs>
          <w:tab w:val="left" w:pos="490"/>
        </w:tabs>
        <w:spacing w:line="360" w:lineRule="auto"/>
        <w:jc w:val="both"/>
        <w:rPr>
          <w:rFonts w:ascii="Arial" w:hAnsi="Arial" w:cs="Arial"/>
        </w:rPr>
      </w:pPr>
      <w:r w:rsidRPr="003F49A1">
        <w:rPr>
          <w:rFonts w:ascii="Times New Roman" w:hAnsi="Times New Roman" w:cs="Times New Roman"/>
        </w:rPr>
        <w:t>Finalmente</w:t>
      </w:r>
      <w:r w:rsidR="002D2C90" w:rsidRPr="003F49A1">
        <w:rPr>
          <w:rFonts w:ascii="Times New Roman" w:hAnsi="Times New Roman" w:cs="Times New Roman"/>
        </w:rPr>
        <w:t>, con los datos obtenidos</w:t>
      </w:r>
      <w:r w:rsidRPr="003F49A1">
        <w:rPr>
          <w:rFonts w:ascii="Times New Roman" w:hAnsi="Times New Roman" w:cs="Times New Roman"/>
        </w:rPr>
        <w:t xml:space="preserve"> </w:t>
      </w:r>
      <w:r w:rsidR="00E6335B" w:rsidRPr="003F49A1">
        <w:rPr>
          <w:rFonts w:ascii="Times New Roman" w:hAnsi="Times New Roman" w:cs="Times New Roman"/>
        </w:rPr>
        <w:t xml:space="preserve"> en el análisis </w:t>
      </w:r>
      <w:r w:rsidR="002D2C90" w:rsidRPr="003F49A1">
        <w:rPr>
          <w:rFonts w:ascii="Times New Roman" w:hAnsi="Times New Roman" w:cs="Times New Roman"/>
        </w:rPr>
        <w:t xml:space="preserve"> FODA,</w:t>
      </w:r>
      <w:r w:rsidRPr="003F49A1">
        <w:rPr>
          <w:rFonts w:ascii="Times New Roman" w:hAnsi="Times New Roman" w:cs="Times New Roman"/>
        </w:rPr>
        <w:t xml:space="preserve"> en donde se destaca la información más relevante de las cuatro etapas, </w:t>
      </w:r>
      <w:r w:rsidR="002D2C90" w:rsidRPr="003F49A1">
        <w:rPr>
          <w:rFonts w:ascii="Times New Roman" w:hAnsi="Times New Roman" w:cs="Times New Roman"/>
        </w:rPr>
        <w:t xml:space="preserve"> se implementó una herramienta denominada diagrama de causa – efecto, basada en la técnica de las 6 M, con el fin de identificar las causas potenciales que originan el rezago que tiene México en el m</w:t>
      </w:r>
      <w:r w:rsidR="00BC076B" w:rsidRPr="003F49A1">
        <w:rPr>
          <w:rFonts w:ascii="Times New Roman" w:hAnsi="Times New Roman" w:cs="Times New Roman"/>
        </w:rPr>
        <w:t>ercado global del conocimien</w:t>
      </w:r>
      <w:r w:rsidR="00DE4600" w:rsidRPr="003F49A1">
        <w:rPr>
          <w:rFonts w:ascii="Times New Roman" w:hAnsi="Times New Roman" w:cs="Times New Roman"/>
        </w:rPr>
        <w:t>to, como se muestra en la tabla</w:t>
      </w:r>
      <w:r w:rsidR="00BC076B" w:rsidRPr="003F49A1">
        <w:rPr>
          <w:rFonts w:ascii="Times New Roman" w:hAnsi="Times New Roman" w:cs="Times New Roman"/>
        </w:rPr>
        <w:t xml:space="preserve"> núme</w:t>
      </w:r>
      <w:r w:rsidR="00DE4600" w:rsidRPr="003F49A1">
        <w:rPr>
          <w:rFonts w:ascii="Times New Roman" w:hAnsi="Times New Roman" w:cs="Times New Roman"/>
        </w:rPr>
        <w:t>ro seis</w:t>
      </w:r>
      <w:r w:rsidR="00BC076B" w:rsidRPr="003F49A1">
        <w:rPr>
          <w:rFonts w:ascii="Times New Roman" w:hAnsi="Times New Roman" w:cs="Times New Roman"/>
        </w:rPr>
        <w:t>.</w:t>
      </w:r>
    </w:p>
    <w:p w14:paraId="5FB1696E" w14:textId="4549AFA5" w:rsidR="00E6369F" w:rsidRDefault="00E6369F" w:rsidP="002D2C90">
      <w:pPr>
        <w:tabs>
          <w:tab w:val="left" w:pos="490"/>
        </w:tabs>
        <w:spacing w:line="360" w:lineRule="auto"/>
        <w:jc w:val="both"/>
        <w:rPr>
          <w:rFonts w:ascii="Arial" w:hAnsi="Arial" w:cs="Arial"/>
        </w:rPr>
      </w:pPr>
    </w:p>
    <w:p w14:paraId="36E416E6" w14:textId="674F33BE" w:rsidR="003F49A1" w:rsidRDefault="003F49A1" w:rsidP="002D2C90">
      <w:pPr>
        <w:tabs>
          <w:tab w:val="left" w:pos="490"/>
        </w:tabs>
        <w:spacing w:line="360" w:lineRule="auto"/>
        <w:jc w:val="both"/>
        <w:rPr>
          <w:rFonts w:ascii="Arial" w:hAnsi="Arial" w:cs="Arial"/>
        </w:rPr>
      </w:pPr>
    </w:p>
    <w:p w14:paraId="6480F715" w14:textId="4293D285" w:rsidR="003F49A1" w:rsidRDefault="003F49A1" w:rsidP="002D2C90">
      <w:pPr>
        <w:tabs>
          <w:tab w:val="left" w:pos="490"/>
        </w:tabs>
        <w:spacing w:line="360" w:lineRule="auto"/>
        <w:jc w:val="both"/>
        <w:rPr>
          <w:rFonts w:ascii="Arial" w:hAnsi="Arial" w:cs="Arial"/>
        </w:rPr>
      </w:pPr>
    </w:p>
    <w:p w14:paraId="3C0015C1" w14:textId="6A4F53FE" w:rsidR="003F49A1" w:rsidRDefault="003F49A1" w:rsidP="002D2C90">
      <w:pPr>
        <w:tabs>
          <w:tab w:val="left" w:pos="490"/>
        </w:tabs>
        <w:spacing w:line="360" w:lineRule="auto"/>
        <w:jc w:val="both"/>
        <w:rPr>
          <w:rFonts w:ascii="Arial" w:hAnsi="Arial" w:cs="Arial"/>
        </w:rPr>
      </w:pPr>
    </w:p>
    <w:p w14:paraId="00563109" w14:textId="05A3E01E" w:rsidR="003F49A1" w:rsidRDefault="003F49A1" w:rsidP="002D2C90">
      <w:pPr>
        <w:tabs>
          <w:tab w:val="left" w:pos="490"/>
        </w:tabs>
        <w:spacing w:line="360" w:lineRule="auto"/>
        <w:jc w:val="both"/>
        <w:rPr>
          <w:rFonts w:ascii="Arial" w:hAnsi="Arial" w:cs="Arial"/>
        </w:rPr>
      </w:pPr>
    </w:p>
    <w:p w14:paraId="7AD99B10" w14:textId="091EBDEC" w:rsidR="003F49A1" w:rsidRDefault="003F49A1" w:rsidP="002D2C90">
      <w:pPr>
        <w:tabs>
          <w:tab w:val="left" w:pos="490"/>
        </w:tabs>
        <w:spacing w:line="360" w:lineRule="auto"/>
        <w:jc w:val="both"/>
        <w:rPr>
          <w:rFonts w:ascii="Arial" w:hAnsi="Arial" w:cs="Arial"/>
        </w:rPr>
      </w:pPr>
    </w:p>
    <w:p w14:paraId="7B68B2DD" w14:textId="7AA2C7F6" w:rsidR="003F49A1" w:rsidRDefault="003F49A1" w:rsidP="002D2C90">
      <w:pPr>
        <w:tabs>
          <w:tab w:val="left" w:pos="490"/>
        </w:tabs>
        <w:spacing w:line="360" w:lineRule="auto"/>
        <w:jc w:val="both"/>
        <w:rPr>
          <w:rFonts w:ascii="Arial" w:hAnsi="Arial" w:cs="Arial"/>
        </w:rPr>
      </w:pPr>
    </w:p>
    <w:p w14:paraId="51DE15FD" w14:textId="4FFE5ADC" w:rsidR="003F49A1" w:rsidRDefault="003F49A1" w:rsidP="002D2C90">
      <w:pPr>
        <w:tabs>
          <w:tab w:val="left" w:pos="490"/>
        </w:tabs>
        <w:spacing w:line="360" w:lineRule="auto"/>
        <w:jc w:val="both"/>
        <w:rPr>
          <w:rFonts w:ascii="Arial" w:hAnsi="Arial" w:cs="Arial"/>
        </w:rPr>
      </w:pPr>
    </w:p>
    <w:p w14:paraId="6BF07C7E" w14:textId="03E4CE0F" w:rsidR="003F49A1" w:rsidRDefault="003F49A1" w:rsidP="002D2C90">
      <w:pPr>
        <w:tabs>
          <w:tab w:val="left" w:pos="490"/>
        </w:tabs>
        <w:spacing w:line="360" w:lineRule="auto"/>
        <w:jc w:val="both"/>
        <w:rPr>
          <w:rFonts w:ascii="Arial" w:hAnsi="Arial" w:cs="Arial"/>
        </w:rPr>
      </w:pPr>
    </w:p>
    <w:p w14:paraId="7BC1D8A8" w14:textId="56A1A29C" w:rsidR="003F49A1" w:rsidRDefault="003F49A1" w:rsidP="002D2C90">
      <w:pPr>
        <w:tabs>
          <w:tab w:val="left" w:pos="490"/>
        </w:tabs>
        <w:spacing w:line="360" w:lineRule="auto"/>
        <w:jc w:val="both"/>
        <w:rPr>
          <w:rFonts w:ascii="Arial" w:hAnsi="Arial" w:cs="Arial"/>
        </w:rPr>
      </w:pPr>
    </w:p>
    <w:p w14:paraId="11E82500" w14:textId="11E01AD0" w:rsidR="003F49A1" w:rsidRDefault="003F49A1" w:rsidP="002D2C90">
      <w:pPr>
        <w:tabs>
          <w:tab w:val="left" w:pos="490"/>
        </w:tabs>
        <w:spacing w:line="360" w:lineRule="auto"/>
        <w:jc w:val="both"/>
        <w:rPr>
          <w:rFonts w:ascii="Arial" w:hAnsi="Arial" w:cs="Arial"/>
        </w:rPr>
      </w:pPr>
    </w:p>
    <w:p w14:paraId="5D715EAC" w14:textId="6149E6C4" w:rsidR="003F49A1" w:rsidRDefault="003F49A1" w:rsidP="002D2C90">
      <w:pPr>
        <w:tabs>
          <w:tab w:val="left" w:pos="490"/>
        </w:tabs>
        <w:spacing w:line="360" w:lineRule="auto"/>
        <w:jc w:val="both"/>
        <w:rPr>
          <w:rFonts w:ascii="Arial" w:hAnsi="Arial" w:cs="Arial"/>
        </w:rPr>
      </w:pPr>
    </w:p>
    <w:p w14:paraId="6B26D7D3" w14:textId="4C32A5B3" w:rsidR="003F49A1" w:rsidRDefault="003F49A1" w:rsidP="002D2C90">
      <w:pPr>
        <w:tabs>
          <w:tab w:val="left" w:pos="490"/>
        </w:tabs>
        <w:spacing w:line="360" w:lineRule="auto"/>
        <w:jc w:val="both"/>
        <w:rPr>
          <w:rFonts w:ascii="Arial" w:hAnsi="Arial" w:cs="Arial"/>
        </w:rPr>
      </w:pPr>
    </w:p>
    <w:p w14:paraId="4E0B9B2B" w14:textId="2E4CA3FA" w:rsidR="003F49A1" w:rsidRDefault="003F49A1" w:rsidP="002D2C90">
      <w:pPr>
        <w:tabs>
          <w:tab w:val="left" w:pos="490"/>
        </w:tabs>
        <w:spacing w:line="360" w:lineRule="auto"/>
        <w:jc w:val="both"/>
        <w:rPr>
          <w:rFonts w:ascii="Arial" w:hAnsi="Arial" w:cs="Arial"/>
        </w:rPr>
      </w:pPr>
    </w:p>
    <w:p w14:paraId="4D3B821D" w14:textId="7EFB79A2" w:rsidR="003F49A1" w:rsidRDefault="003F49A1" w:rsidP="002D2C90">
      <w:pPr>
        <w:tabs>
          <w:tab w:val="left" w:pos="490"/>
        </w:tabs>
        <w:spacing w:line="360" w:lineRule="auto"/>
        <w:jc w:val="both"/>
        <w:rPr>
          <w:rFonts w:ascii="Arial" w:hAnsi="Arial" w:cs="Arial"/>
        </w:rPr>
      </w:pPr>
    </w:p>
    <w:p w14:paraId="107639A9" w14:textId="228EBAF9" w:rsidR="003F49A1" w:rsidRDefault="003F49A1" w:rsidP="002D2C90">
      <w:pPr>
        <w:tabs>
          <w:tab w:val="left" w:pos="490"/>
        </w:tabs>
        <w:spacing w:line="360" w:lineRule="auto"/>
        <w:jc w:val="both"/>
        <w:rPr>
          <w:rFonts w:ascii="Arial" w:hAnsi="Arial" w:cs="Arial"/>
        </w:rPr>
      </w:pPr>
    </w:p>
    <w:p w14:paraId="58A7AD3C" w14:textId="33ADBB47" w:rsidR="003F49A1" w:rsidRDefault="003F49A1" w:rsidP="002D2C90">
      <w:pPr>
        <w:tabs>
          <w:tab w:val="left" w:pos="490"/>
        </w:tabs>
        <w:spacing w:line="360" w:lineRule="auto"/>
        <w:jc w:val="both"/>
        <w:rPr>
          <w:rFonts w:ascii="Arial" w:hAnsi="Arial" w:cs="Arial"/>
        </w:rPr>
      </w:pPr>
    </w:p>
    <w:p w14:paraId="2AF65C86" w14:textId="77777777" w:rsidR="003F49A1" w:rsidRDefault="003F49A1" w:rsidP="002D2C90">
      <w:pPr>
        <w:tabs>
          <w:tab w:val="left" w:pos="490"/>
        </w:tabs>
        <w:spacing w:line="360" w:lineRule="auto"/>
        <w:jc w:val="both"/>
        <w:rPr>
          <w:rFonts w:ascii="Arial" w:hAnsi="Arial" w:cs="Arial"/>
        </w:rPr>
      </w:pPr>
    </w:p>
    <w:p w14:paraId="6F5B4489" w14:textId="7EF983FE" w:rsidR="00CD4435" w:rsidRPr="003F49A1" w:rsidRDefault="00DE4600" w:rsidP="003F49A1">
      <w:pPr>
        <w:tabs>
          <w:tab w:val="left" w:pos="6690"/>
        </w:tabs>
        <w:jc w:val="center"/>
        <w:rPr>
          <w:rFonts w:ascii="Times New Roman" w:hAnsi="Times New Roman" w:cs="Times New Roman"/>
          <w:b/>
          <w:i/>
          <w:szCs w:val="18"/>
        </w:rPr>
      </w:pPr>
      <w:r w:rsidRPr="003F49A1">
        <w:rPr>
          <w:rFonts w:ascii="Times New Roman" w:hAnsi="Times New Roman" w:cs="Times New Roman"/>
          <w:b/>
          <w:noProof/>
          <w:szCs w:val="18"/>
          <w:lang w:val="es-ES"/>
        </w:rPr>
        <w:lastRenderedPageBreak/>
        <w:t>Tabla</w:t>
      </w:r>
      <w:r w:rsidR="00CD4435" w:rsidRPr="003F49A1">
        <w:rPr>
          <w:rFonts w:ascii="Times New Roman" w:hAnsi="Times New Roman" w:cs="Times New Roman"/>
          <w:noProof/>
          <w:szCs w:val="18"/>
          <w:lang w:val="es-ES"/>
        </w:rPr>
        <w:t xml:space="preserve"> </w:t>
      </w:r>
      <w:r w:rsidRPr="003F49A1">
        <w:rPr>
          <w:rFonts w:ascii="Times New Roman" w:hAnsi="Times New Roman" w:cs="Times New Roman"/>
          <w:b/>
          <w:noProof/>
          <w:szCs w:val="18"/>
          <w:lang w:val="es-ES"/>
        </w:rPr>
        <w:t>6</w:t>
      </w:r>
      <w:r w:rsidR="003F49A1" w:rsidRPr="003F49A1">
        <w:rPr>
          <w:rFonts w:ascii="Times New Roman" w:hAnsi="Times New Roman" w:cs="Times New Roman"/>
          <w:b/>
          <w:noProof/>
          <w:szCs w:val="18"/>
          <w:lang w:val="es-ES"/>
        </w:rPr>
        <w:t xml:space="preserve">. </w:t>
      </w:r>
      <w:r w:rsidR="009004C3" w:rsidRPr="003F49A1">
        <w:rPr>
          <w:rFonts w:ascii="Times New Roman" w:hAnsi="Times New Roman" w:cs="Times New Roman"/>
          <w:noProof/>
          <w:szCs w:val="18"/>
          <w:lang w:val="es-ES"/>
        </w:rPr>
        <w:t>Desglose de causa-efecto del rezago en el mercado global del conocimiento</w:t>
      </w:r>
      <w:r w:rsidR="003F49A1">
        <w:rPr>
          <w:rFonts w:ascii="Times New Roman" w:hAnsi="Times New Roman" w:cs="Times New Roman"/>
          <w:noProof/>
          <w:szCs w:val="18"/>
          <w:lang w:val="es-ES"/>
        </w:rPr>
        <w:t>.</w:t>
      </w:r>
    </w:p>
    <w:p w14:paraId="1B612738" w14:textId="2B133A30" w:rsidR="00CD4435" w:rsidRDefault="00CD4435" w:rsidP="00CD4435">
      <w:pPr>
        <w:spacing w:line="360" w:lineRule="auto"/>
        <w:jc w:val="center"/>
        <w:rPr>
          <w:rFonts w:ascii="Arial" w:hAnsi="Arial" w:cs="Arial"/>
          <w:b/>
          <w:noProof/>
          <w:kern w:val="12"/>
          <w:lang w:val="es-ES"/>
        </w:rPr>
      </w:pPr>
    </w:p>
    <w:tbl>
      <w:tblPr>
        <w:tblStyle w:val="Tablaconcuadrcula"/>
        <w:tblpPr w:leftFromText="141" w:rightFromText="141" w:vertAnchor="text" w:tblpX="262" w:tblpY="1"/>
        <w:tblOverlap w:val="never"/>
        <w:tblW w:w="0" w:type="auto"/>
        <w:tblLayout w:type="fixed"/>
        <w:tblLook w:val="04A0" w:firstRow="1" w:lastRow="0" w:firstColumn="1" w:lastColumn="0" w:noHBand="0" w:noVBand="1"/>
      </w:tblPr>
      <w:tblGrid>
        <w:gridCol w:w="1273"/>
        <w:gridCol w:w="111"/>
        <w:gridCol w:w="1259"/>
        <w:gridCol w:w="1576"/>
        <w:gridCol w:w="271"/>
        <w:gridCol w:w="1330"/>
        <w:gridCol w:w="1222"/>
        <w:gridCol w:w="208"/>
        <w:gridCol w:w="1068"/>
      </w:tblGrid>
      <w:tr w:rsidR="00E6335B" w14:paraId="7BDFF45A" w14:textId="77777777" w:rsidTr="00F63331">
        <w:tc>
          <w:tcPr>
            <w:tcW w:w="8318" w:type="dxa"/>
            <w:gridSpan w:val="9"/>
            <w:tcBorders>
              <w:top w:val="thinThickLargeGap" w:sz="24" w:space="0" w:color="000090"/>
              <w:left w:val="thinThickLargeGap" w:sz="24" w:space="0" w:color="000090"/>
              <w:bottom w:val="thinThickLargeGap" w:sz="24" w:space="0" w:color="000090"/>
              <w:right w:val="thinThickLargeGap" w:sz="24" w:space="0" w:color="000090"/>
            </w:tcBorders>
            <w:shd w:val="clear" w:color="auto" w:fill="DBE5F1" w:themeFill="accent1" w:themeFillTint="33"/>
          </w:tcPr>
          <w:p w14:paraId="1EC71D3C" w14:textId="77777777" w:rsidR="00E6335B" w:rsidRPr="00D6019B" w:rsidRDefault="00E6335B" w:rsidP="00E6335B">
            <w:pPr>
              <w:jc w:val="center"/>
              <w:rPr>
                <w:rFonts w:ascii="Arial" w:hAnsi="Arial"/>
                <w:b/>
                <w:sz w:val="20"/>
                <w:szCs w:val="20"/>
              </w:rPr>
            </w:pPr>
            <w:r w:rsidRPr="00D6019B">
              <w:rPr>
                <w:rFonts w:ascii="Arial" w:hAnsi="Arial"/>
                <w:b/>
                <w:sz w:val="20"/>
                <w:szCs w:val="20"/>
              </w:rPr>
              <w:t>Problemática:</w:t>
            </w:r>
          </w:p>
          <w:p w14:paraId="57B95432" w14:textId="77777777" w:rsidR="00E6335B" w:rsidRPr="003B17DB" w:rsidRDefault="00E6335B" w:rsidP="00E6335B">
            <w:pPr>
              <w:jc w:val="center"/>
              <w:rPr>
                <w:rFonts w:ascii="Arial" w:hAnsi="Arial"/>
                <w:sz w:val="20"/>
                <w:szCs w:val="20"/>
              </w:rPr>
            </w:pPr>
            <w:r w:rsidRPr="003B17DB">
              <w:rPr>
                <w:rFonts w:ascii="Arial" w:hAnsi="Arial"/>
                <w:sz w:val="20"/>
                <w:szCs w:val="20"/>
              </w:rPr>
              <w:t>Rezago en el mercado global del conocimiento</w:t>
            </w:r>
          </w:p>
        </w:tc>
      </w:tr>
      <w:tr w:rsidR="00E6335B" w14:paraId="44B32754" w14:textId="77777777" w:rsidTr="00F63331">
        <w:tc>
          <w:tcPr>
            <w:tcW w:w="2643" w:type="dxa"/>
            <w:gridSpan w:val="3"/>
            <w:tcBorders>
              <w:top w:val="thinThickLargeGap" w:sz="24" w:space="0" w:color="000090"/>
              <w:left w:val="thinThickLargeGap" w:sz="24" w:space="0" w:color="000090"/>
              <w:bottom w:val="thinThickLargeGap" w:sz="24" w:space="0" w:color="000090"/>
              <w:right w:val="thinThickLargeGap" w:sz="24" w:space="0" w:color="000090"/>
            </w:tcBorders>
            <w:shd w:val="clear" w:color="auto" w:fill="EAF1DD" w:themeFill="accent3" w:themeFillTint="33"/>
          </w:tcPr>
          <w:p w14:paraId="59AE1A01" w14:textId="77777777" w:rsidR="00E6335B" w:rsidRPr="00531A07" w:rsidRDefault="00E6335B" w:rsidP="00E6335B">
            <w:pPr>
              <w:jc w:val="center"/>
              <w:rPr>
                <w:rFonts w:ascii="Arial" w:hAnsi="Arial"/>
                <w:b/>
                <w:sz w:val="20"/>
                <w:szCs w:val="20"/>
              </w:rPr>
            </w:pPr>
            <w:r w:rsidRPr="00531A07">
              <w:rPr>
                <w:rFonts w:ascii="Arial" w:hAnsi="Arial"/>
                <w:b/>
                <w:sz w:val="20"/>
                <w:szCs w:val="20"/>
              </w:rPr>
              <w:t>Medición</w:t>
            </w:r>
          </w:p>
        </w:tc>
        <w:tc>
          <w:tcPr>
            <w:tcW w:w="3177" w:type="dxa"/>
            <w:gridSpan w:val="3"/>
            <w:tcBorders>
              <w:top w:val="thinThickLargeGap" w:sz="24" w:space="0" w:color="000090"/>
              <w:left w:val="thinThickLargeGap" w:sz="24" w:space="0" w:color="000090"/>
              <w:bottom w:val="thinThickLargeGap" w:sz="24" w:space="0" w:color="000090"/>
              <w:right w:val="thinThickLargeGap" w:sz="24" w:space="0" w:color="000090"/>
            </w:tcBorders>
            <w:shd w:val="clear" w:color="auto" w:fill="FDE9D9" w:themeFill="accent6" w:themeFillTint="33"/>
          </w:tcPr>
          <w:p w14:paraId="07287534" w14:textId="77777777" w:rsidR="00E6335B" w:rsidRPr="00531A07" w:rsidRDefault="00E6335B" w:rsidP="00E6335B">
            <w:pPr>
              <w:jc w:val="center"/>
              <w:rPr>
                <w:rFonts w:ascii="Arial" w:hAnsi="Arial"/>
                <w:b/>
                <w:sz w:val="20"/>
                <w:szCs w:val="20"/>
              </w:rPr>
            </w:pPr>
            <w:r w:rsidRPr="00531A07">
              <w:rPr>
                <w:rFonts w:ascii="Arial" w:hAnsi="Arial"/>
                <w:b/>
                <w:sz w:val="20"/>
                <w:szCs w:val="20"/>
              </w:rPr>
              <w:t>Método</w:t>
            </w:r>
          </w:p>
        </w:tc>
        <w:tc>
          <w:tcPr>
            <w:tcW w:w="2498" w:type="dxa"/>
            <w:gridSpan w:val="3"/>
            <w:tcBorders>
              <w:top w:val="thinThickLargeGap" w:sz="24" w:space="0" w:color="000090"/>
              <w:left w:val="thinThickLargeGap" w:sz="24" w:space="0" w:color="000090"/>
              <w:bottom w:val="thinThickLargeGap" w:sz="24" w:space="0" w:color="000090"/>
              <w:right w:val="thinThickLargeGap" w:sz="24" w:space="0" w:color="000090"/>
            </w:tcBorders>
            <w:shd w:val="clear" w:color="auto" w:fill="DDD9C3" w:themeFill="background2" w:themeFillShade="E6"/>
          </w:tcPr>
          <w:p w14:paraId="36250164" w14:textId="77777777" w:rsidR="00E6335B" w:rsidRPr="00531A07" w:rsidRDefault="00E6335B" w:rsidP="00E6335B">
            <w:pPr>
              <w:jc w:val="center"/>
              <w:rPr>
                <w:rFonts w:ascii="Arial" w:hAnsi="Arial"/>
                <w:b/>
                <w:sz w:val="20"/>
                <w:szCs w:val="20"/>
              </w:rPr>
            </w:pPr>
            <w:r w:rsidRPr="00531A07">
              <w:rPr>
                <w:rFonts w:ascii="Arial" w:hAnsi="Arial"/>
                <w:b/>
                <w:sz w:val="20"/>
                <w:szCs w:val="20"/>
              </w:rPr>
              <w:t>Materiales</w:t>
            </w:r>
          </w:p>
        </w:tc>
      </w:tr>
      <w:tr w:rsidR="00E6335B" w14:paraId="6E40EB15" w14:textId="77777777" w:rsidTr="000640B4">
        <w:tc>
          <w:tcPr>
            <w:tcW w:w="1384" w:type="dxa"/>
            <w:gridSpan w:val="2"/>
            <w:tcBorders>
              <w:top w:val="thinThickLargeGap" w:sz="24" w:space="0" w:color="000090"/>
              <w:left w:val="thinThickLargeGap" w:sz="24" w:space="0" w:color="000090"/>
              <w:bottom w:val="thinThickLargeGap" w:sz="24" w:space="0" w:color="000090"/>
              <w:right w:val="thinThickLargeGap" w:sz="24" w:space="0" w:color="000090"/>
            </w:tcBorders>
            <w:shd w:val="clear" w:color="auto" w:fill="D6E3BC" w:themeFill="accent3" w:themeFillTint="66"/>
          </w:tcPr>
          <w:p w14:paraId="27F89EBA" w14:textId="77777777" w:rsidR="00E6335B" w:rsidRPr="00531A07" w:rsidRDefault="00E6335B" w:rsidP="00E6335B">
            <w:pPr>
              <w:jc w:val="center"/>
              <w:rPr>
                <w:rFonts w:ascii="Arial" w:hAnsi="Arial"/>
                <w:b/>
                <w:sz w:val="20"/>
                <w:szCs w:val="20"/>
              </w:rPr>
            </w:pPr>
            <w:r w:rsidRPr="00531A07">
              <w:rPr>
                <w:rFonts w:ascii="Arial" w:hAnsi="Arial"/>
                <w:b/>
                <w:sz w:val="20"/>
                <w:szCs w:val="20"/>
              </w:rPr>
              <w:t>Causa</w:t>
            </w:r>
          </w:p>
        </w:tc>
        <w:tc>
          <w:tcPr>
            <w:tcW w:w="1259" w:type="dxa"/>
            <w:tcBorders>
              <w:top w:val="thinThickLargeGap" w:sz="24" w:space="0" w:color="000090"/>
              <w:left w:val="thinThickLargeGap" w:sz="24" w:space="0" w:color="000090"/>
              <w:bottom w:val="thinThickLargeGap" w:sz="24" w:space="0" w:color="000090"/>
              <w:right w:val="thinThickLargeGap" w:sz="24" w:space="0" w:color="000090"/>
            </w:tcBorders>
            <w:shd w:val="clear" w:color="auto" w:fill="C2D69B" w:themeFill="accent3" w:themeFillTint="99"/>
          </w:tcPr>
          <w:p w14:paraId="07EE1DEA" w14:textId="77777777" w:rsidR="00E6335B" w:rsidRPr="00531A07" w:rsidRDefault="00E6335B" w:rsidP="00E6335B">
            <w:pPr>
              <w:jc w:val="center"/>
              <w:rPr>
                <w:rFonts w:ascii="Arial" w:hAnsi="Arial"/>
                <w:b/>
                <w:sz w:val="20"/>
                <w:szCs w:val="20"/>
              </w:rPr>
            </w:pPr>
            <w:r w:rsidRPr="00531A07">
              <w:rPr>
                <w:rFonts w:ascii="Arial" w:hAnsi="Arial"/>
                <w:b/>
                <w:sz w:val="20"/>
                <w:szCs w:val="20"/>
              </w:rPr>
              <w:t>Efecto</w:t>
            </w:r>
          </w:p>
        </w:tc>
        <w:tc>
          <w:tcPr>
            <w:tcW w:w="1576" w:type="dxa"/>
            <w:tcBorders>
              <w:top w:val="thinThickLargeGap" w:sz="24" w:space="0" w:color="000090"/>
              <w:left w:val="thinThickLargeGap" w:sz="24" w:space="0" w:color="000090"/>
              <w:bottom w:val="thinThickLargeGap" w:sz="24" w:space="0" w:color="000090"/>
              <w:right w:val="thinThickLargeGap" w:sz="24" w:space="0" w:color="000090"/>
            </w:tcBorders>
            <w:shd w:val="clear" w:color="auto" w:fill="FBD4B4" w:themeFill="accent6" w:themeFillTint="66"/>
          </w:tcPr>
          <w:p w14:paraId="54FE5367" w14:textId="77777777" w:rsidR="00E6335B" w:rsidRPr="00531A07" w:rsidRDefault="00E6335B" w:rsidP="00E6335B">
            <w:pPr>
              <w:jc w:val="center"/>
              <w:rPr>
                <w:rFonts w:ascii="Arial" w:hAnsi="Arial"/>
                <w:b/>
                <w:sz w:val="20"/>
                <w:szCs w:val="20"/>
              </w:rPr>
            </w:pPr>
            <w:r w:rsidRPr="00531A07">
              <w:rPr>
                <w:rFonts w:ascii="Arial" w:hAnsi="Arial"/>
                <w:b/>
                <w:sz w:val="20"/>
                <w:szCs w:val="20"/>
              </w:rPr>
              <w:t>Causa</w:t>
            </w:r>
          </w:p>
        </w:tc>
        <w:tc>
          <w:tcPr>
            <w:tcW w:w="1601" w:type="dxa"/>
            <w:gridSpan w:val="2"/>
            <w:tcBorders>
              <w:top w:val="thinThickLargeGap" w:sz="24" w:space="0" w:color="000090"/>
              <w:left w:val="thinThickLargeGap" w:sz="24" w:space="0" w:color="000090"/>
              <w:bottom w:val="thinThickLargeGap" w:sz="24" w:space="0" w:color="000090"/>
              <w:right w:val="thinThickLargeGap" w:sz="24" w:space="0" w:color="000090"/>
            </w:tcBorders>
            <w:shd w:val="clear" w:color="auto" w:fill="FABF8F" w:themeFill="accent6" w:themeFillTint="99"/>
          </w:tcPr>
          <w:p w14:paraId="3BD27581" w14:textId="77777777" w:rsidR="00E6335B" w:rsidRPr="00531A07" w:rsidRDefault="00E6335B" w:rsidP="00E6335B">
            <w:pPr>
              <w:jc w:val="center"/>
              <w:rPr>
                <w:rFonts w:ascii="Arial" w:hAnsi="Arial"/>
                <w:b/>
                <w:sz w:val="20"/>
                <w:szCs w:val="20"/>
              </w:rPr>
            </w:pPr>
            <w:r w:rsidRPr="00531A07">
              <w:rPr>
                <w:rFonts w:ascii="Arial" w:hAnsi="Arial"/>
                <w:b/>
                <w:sz w:val="20"/>
                <w:szCs w:val="20"/>
              </w:rPr>
              <w:t>Efecto</w:t>
            </w:r>
          </w:p>
        </w:tc>
        <w:tc>
          <w:tcPr>
            <w:tcW w:w="1222" w:type="dxa"/>
            <w:tcBorders>
              <w:top w:val="thinThickLargeGap" w:sz="24" w:space="0" w:color="000090"/>
              <w:left w:val="thinThickLargeGap" w:sz="24" w:space="0" w:color="000090"/>
              <w:bottom w:val="thinThickLargeGap" w:sz="24" w:space="0" w:color="000090"/>
              <w:right w:val="thinThickLargeGap" w:sz="24" w:space="0" w:color="000090"/>
            </w:tcBorders>
            <w:shd w:val="clear" w:color="auto" w:fill="C4BC96" w:themeFill="background2" w:themeFillShade="BF"/>
          </w:tcPr>
          <w:p w14:paraId="13F29C99" w14:textId="77777777" w:rsidR="00E6335B" w:rsidRPr="00531A07" w:rsidRDefault="00E6335B" w:rsidP="00E6335B">
            <w:pPr>
              <w:jc w:val="center"/>
              <w:rPr>
                <w:rFonts w:ascii="Arial" w:hAnsi="Arial"/>
                <w:b/>
                <w:sz w:val="20"/>
                <w:szCs w:val="20"/>
              </w:rPr>
            </w:pPr>
            <w:r w:rsidRPr="00531A07">
              <w:rPr>
                <w:rFonts w:ascii="Arial" w:hAnsi="Arial"/>
                <w:b/>
                <w:sz w:val="20"/>
                <w:szCs w:val="20"/>
              </w:rPr>
              <w:t>Causa</w:t>
            </w:r>
          </w:p>
        </w:tc>
        <w:tc>
          <w:tcPr>
            <w:tcW w:w="1276" w:type="dxa"/>
            <w:gridSpan w:val="2"/>
            <w:tcBorders>
              <w:top w:val="thinThickLargeGap" w:sz="24" w:space="0" w:color="000090"/>
              <w:left w:val="thinThickLargeGap" w:sz="24" w:space="0" w:color="000090"/>
              <w:bottom w:val="thinThickLargeGap" w:sz="24" w:space="0" w:color="000090"/>
              <w:right w:val="thinThickLargeGap" w:sz="24" w:space="0" w:color="000090"/>
            </w:tcBorders>
            <w:shd w:val="clear" w:color="auto" w:fill="948A54" w:themeFill="background2" w:themeFillShade="80"/>
          </w:tcPr>
          <w:p w14:paraId="5D6E5F0A" w14:textId="77777777" w:rsidR="00E6335B" w:rsidRPr="00531A07" w:rsidRDefault="00E6335B" w:rsidP="00E6335B">
            <w:pPr>
              <w:jc w:val="center"/>
              <w:rPr>
                <w:rFonts w:ascii="Arial" w:hAnsi="Arial"/>
                <w:b/>
                <w:sz w:val="20"/>
                <w:szCs w:val="20"/>
              </w:rPr>
            </w:pPr>
            <w:r w:rsidRPr="00531A07">
              <w:rPr>
                <w:rFonts w:ascii="Arial" w:hAnsi="Arial"/>
                <w:b/>
                <w:sz w:val="20"/>
                <w:szCs w:val="20"/>
              </w:rPr>
              <w:t>Efecto</w:t>
            </w:r>
          </w:p>
        </w:tc>
      </w:tr>
      <w:tr w:rsidR="00E6335B" w:rsidRPr="00531A07" w14:paraId="67214175" w14:textId="77777777" w:rsidTr="00F63331">
        <w:tc>
          <w:tcPr>
            <w:tcW w:w="1384" w:type="dxa"/>
            <w:gridSpan w:val="2"/>
            <w:tcBorders>
              <w:top w:val="thinThickLargeGap" w:sz="24" w:space="0" w:color="000090"/>
              <w:left w:val="thinThickLargeGap" w:sz="24" w:space="0" w:color="000090"/>
              <w:bottom w:val="thinThickLargeGap" w:sz="24" w:space="0" w:color="000090"/>
              <w:right w:val="thinThickLargeGap" w:sz="24" w:space="0" w:color="000090"/>
            </w:tcBorders>
          </w:tcPr>
          <w:p w14:paraId="4B876669" w14:textId="77777777" w:rsidR="00E6335B" w:rsidRPr="002E2243" w:rsidRDefault="00E6335B" w:rsidP="00E6335B">
            <w:pPr>
              <w:jc w:val="both"/>
              <w:rPr>
                <w:rFonts w:ascii="Arial" w:hAnsi="Arial"/>
                <w:sz w:val="18"/>
                <w:szCs w:val="18"/>
              </w:rPr>
            </w:pPr>
            <w:r w:rsidRPr="002E2243">
              <w:rPr>
                <w:rFonts w:ascii="Arial" w:hAnsi="Arial"/>
                <w:sz w:val="18"/>
                <w:szCs w:val="18"/>
              </w:rPr>
              <w:t>Los Organismos internacionales evalúan el desempeño de la economía del conocimiento a nivel global.</w:t>
            </w:r>
          </w:p>
        </w:tc>
        <w:tc>
          <w:tcPr>
            <w:tcW w:w="1259" w:type="dxa"/>
            <w:tcBorders>
              <w:top w:val="thinThickLargeGap" w:sz="24" w:space="0" w:color="000090"/>
              <w:left w:val="thinThickLargeGap" w:sz="24" w:space="0" w:color="000090"/>
              <w:bottom w:val="thinThickLargeGap" w:sz="24" w:space="0" w:color="000090"/>
              <w:right w:val="thinThickLargeGap" w:sz="24" w:space="0" w:color="000090"/>
            </w:tcBorders>
          </w:tcPr>
          <w:p w14:paraId="2470A5A2" w14:textId="77777777" w:rsidR="00E6335B" w:rsidRPr="002E2243" w:rsidRDefault="00E6335B" w:rsidP="00E6335B">
            <w:pPr>
              <w:jc w:val="both"/>
              <w:rPr>
                <w:rFonts w:ascii="Arial" w:hAnsi="Arial"/>
                <w:sz w:val="18"/>
                <w:szCs w:val="18"/>
              </w:rPr>
            </w:pPr>
            <w:r w:rsidRPr="002E2243">
              <w:rPr>
                <w:rFonts w:ascii="Arial" w:hAnsi="Arial"/>
                <w:sz w:val="18"/>
                <w:szCs w:val="18"/>
              </w:rPr>
              <w:t>Baja competitividad del mercado mexicano a nivel global.</w:t>
            </w:r>
          </w:p>
        </w:tc>
        <w:tc>
          <w:tcPr>
            <w:tcW w:w="1576" w:type="dxa"/>
            <w:tcBorders>
              <w:top w:val="thinThickLargeGap" w:sz="24" w:space="0" w:color="000090"/>
              <w:left w:val="thinThickLargeGap" w:sz="24" w:space="0" w:color="000090"/>
              <w:bottom w:val="thinThickLargeGap" w:sz="24" w:space="0" w:color="000090"/>
              <w:right w:val="thinThickLargeGap" w:sz="24" w:space="0" w:color="000090"/>
            </w:tcBorders>
          </w:tcPr>
          <w:p w14:paraId="108F0960" w14:textId="77777777" w:rsidR="00E6335B" w:rsidRPr="002E2243" w:rsidRDefault="00E6335B" w:rsidP="00E6335B">
            <w:pPr>
              <w:jc w:val="both"/>
              <w:rPr>
                <w:rFonts w:ascii="Arial" w:hAnsi="Arial"/>
                <w:sz w:val="18"/>
                <w:szCs w:val="18"/>
              </w:rPr>
            </w:pPr>
            <w:r w:rsidRPr="002E2243">
              <w:rPr>
                <w:rFonts w:ascii="Arial" w:hAnsi="Arial"/>
                <w:sz w:val="18"/>
                <w:szCs w:val="18"/>
              </w:rPr>
              <w:t>Las variables miden el estado que guarda la ciencia y la tecnología a nivel global.</w:t>
            </w:r>
          </w:p>
          <w:p w14:paraId="5A677354" w14:textId="77777777" w:rsidR="00E6335B" w:rsidRPr="002E2243" w:rsidRDefault="00E6335B" w:rsidP="00E6335B">
            <w:pPr>
              <w:jc w:val="both"/>
              <w:rPr>
                <w:rFonts w:ascii="Arial" w:hAnsi="Arial"/>
                <w:sz w:val="18"/>
                <w:szCs w:val="18"/>
              </w:rPr>
            </w:pPr>
          </w:p>
          <w:p w14:paraId="4DC033FB" w14:textId="77777777" w:rsidR="00E6335B" w:rsidRPr="002E2243" w:rsidRDefault="00E6335B" w:rsidP="00E6335B">
            <w:pPr>
              <w:jc w:val="both"/>
              <w:rPr>
                <w:rFonts w:ascii="Arial" w:hAnsi="Arial"/>
                <w:sz w:val="18"/>
                <w:szCs w:val="18"/>
              </w:rPr>
            </w:pPr>
          </w:p>
        </w:tc>
        <w:tc>
          <w:tcPr>
            <w:tcW w:w="1601" w:type="dxa"/>
            <w:gridSpan w:val="2"/>
            <w:tcBorders>
              <w:top w:val="thinThickLargeGap" w:sz="24" w:space="0" w:color="000090"/>
              <w:left w:val="thinThickLargeGap" w:sz="24" w:space="0" w:color="000090"/>
              <w:bottom w:val="thinThickLargeGap" w:sz="24" w:space="0" w:color="000090"/>
              <w:right w:val="thinThickLargeGap" w:sz="24" w:space="0" w:color="000090"/>
            </w:tcBorders>
          </w:tcPr>
          <w:p w14:paraId="6197158C" w14:textId="77777777" w:rsidR="00E6335B" w:rsidRPr="002E2243" w:rsidRDefault="00E6335B" w:rsidP="00E6335B">
            <w:pPr>
              <w:jc w:val="both"/>
              <w:rPr>
                <w:rFonts w:ascii="Arial" w:hAnsi="Arial"/>
                <w:sz w:val="18"/>
                <w:szCs w:val="18"/>
              </w:rPr>
            </w:pPr>
            <w:r w:rsidRPr="002E2243">
              <w:rPr>
                <w:rFonts w:ascii="Arial" w:hAnsi="Arial"/>
                <w:sz w:val="18"/>
                <w:szCs w:val="18"/>
              </w:rPr>
              <w:t>Los indicadores reflejan  la reducida participación de México en la economía del conocimiento.</w:t>
            </w:r>
          </w:p>
        </w:tc>
        <w:tc>
          <w:tcPr>
            <w:tcW w:w="1222" w:type="dxa"/>
            <w:tcBorders>
              <w:top w:val="thinThickLargeGap" w:sz="24" w:space="0" w:color="000090"/>
              <w:left w:val="thinThickLargeGap" w:sz="24" w:space="0" w:color="000090"/>
              <w:bottom w:val="thinThickLargeGap" w:sz="24" w:space="0" w:color="000090"/>
              <w:right w:val="thinThickLargeGap" w:sz="24" w:space="0" w:color="000090"/>
            </w:tcBorders>
          </w:tcPr>
          <w:p w14:paraId="7C22953D" w14:textId="77777777" w:rsidR="00E6335B" w:rsidRPr="002E2243" w:rsidRDefault="00E6335B" w:rsidP="00E6335B">
            <w:pPr>
              <w:jc w:val="both"/>
              <w:rPr>
                <w:rFonts w:ascii="Arial" w:hAnsi="Arial"/>
                <w:sz w:val="18"/>
                <w:szCs w:val="18"/>
              </w:rPr>
            </w:pPr>
            <w:r w:rsidRPr="002E2243">
              <w:rPr>
                <w:rFonts w:ascii="Arial" w:hAnsi="Arial"/>
                <w:sz w:val="18"/>
                <w:szCs w:val="18"/>
              </w:rPr>
              <w:t>Los Informes muestran los resultados obtenidos en los índices internacionales que miden el desempeño de la economía del conocimiento a nivel global.</w:t>
            </w:r>
          </w:p>
        </w:tc>
        <w:tc>
          <w:tcPr>
            <w:tcW w:w="1276" w:type="dxa"/>
            <w:gridSpan w:val="2"/>
            <w:tcBorders>
              <w:top w:val="thinThickLargeGap" w:sz="24" w:space="0" w:color="000090"/>
              <w:left w:val="thinThickLargeGap" w:sz="24" w:space="0" w:color="000090"/>
              <w:bottom w:val="thinThickLargeGap" w:sz="24" w:space="0" w:color="000090"/>
              <w:right w:val="thinThickLargeGap" w:sz="24" w:space="0" w:color="000090"/>
            </w:tcBorders>
          </w:tcPr>
          <w:p w14:paraId="55C44F41" w14:textId="77777777" w:rsidR="00E6335B" w:rsidRPr="002E2243" w:rsidRDefault="00E6335B" w:rsidP="00E6335B">
            <w:pPr>
              <w:jc w:val="both"/>
              <w:rPr>
                <w:rFonts w:ascii="Arial" w:hAnsi="Arial"/>
                <w:sz w:val="18"/>
                <w:szCs w:val="18"/>
              </w:rPr>
            </w:pPr>
            <w:r w:rsidRPr="002E2243">
              <w:rPr>
                <w:rFonts w:ascii="Arial" w:hAnsi="Arial"/>
                <w:sz w:val="18"/>
                <w:szCs w:val="18"/>
              </w:rPr>
              <w:t>Percepción acerca de la baja inversión que tiene México en ciencia y tecnología, que impacta directamente en el número de patentes y publicaciones científicas.</w:t>
            </w:r>
          </w:p>
        </w:tc>
      </w:tr>
      <w:tr w:rsidR="00E6335B" w:rsidRPr="00531A07" w14:paraId="0491E620" w14:textId="77777777" w:rsidTr="006F1292">
        <w:tc>
          <w:tcPr>
            <w:tcW w:w="2643" w:type="dxa"/>
            <w:gridSpan w:val="3"/>
            <w:tcBorders>
              <w:top w:val="thinThickLargeGap" w:sz="24" w:space="0" w:color="000090"/>
              <w:left w:val="thinThickLargeGap" w:sz="24" w:space="0" w:color="000090"/>
              <w:bottom w:val="thinThickLargeGap" w:sz="24" w:space="0" w:color="000090"/>
              <w:right w:val="thinThickLargeGap" w:sz="24" w:space="0" w:color="000090"/>
            </w:tcBorders>
            <w:shd w:val="clear" w:color="auto" w:fill="E5DFEC" w:themeFill="accent4" w:themeFillTint="33"/>
          </w:tcPr>
          <w:p w14:paraId="01D92556" w14:textId="77777777" w:rsidR="00E6335B" w:rsidRPr="00531A07" w:rsidRDefault="00E6335B" w:rsidP="00E6335B">
            <w:pPr>
              <w:jc w:val="center"/>
              <w:rPr>
                <w:rFonts w:ascii="Arial" w:hAnsi="Arial"/>
                <w:b/>
                <w:sz w:val="20"/>
                <w:szCs w:val="20"/>
              </w:rPr>
            </w:pPr>
            <w:r>
              <w:rPr>
                <w:rFonts w:ascii="Arial" w:hAnsi="Arial"/>
                <w:b/>
                <w:sz w:val="20"/>
                <w:szCs w:val="20"/>
              </w:rPr>
              <w:t>Medio Ambiente</w:t>
            </w:r>
          </w:p>
        </w:tc>
        <w:tc>
          <w:tcPr>
            <w:tcW w:w="3177" w:type="dxa"/>
            <w:gridSpan w:val="3"/>
            <w:tcBorders>
              <w:top w:val="thinThickLargeGap" w:sz="24" w:space="0" w:color="000090"/>
              <w:left w:val="thinThickLargeGap" w:sz="24" w:space="0" w:color="000090"/>
              <w:bottom w:val="thinThickLargeGap" w:sz="24" w:space="0" w:color="000090"/>
              <w:right w:val="thinThickLargeGap" w:sz="24" w:space="0" w:color="000090"/>
            </w:tcBorders>
            <w:shd w:val="clear" w:color="auto" w:fill="F2DBDB" w:themeFill="accent2" w:themeFillTint="33"/>
          </w:tcPr>
          <w:p w14:paraId="027A0314" w14:textId="77777777" w:rsidR="00E6335B" w:rsidRPr="00531A07" w:rsidRDefault="00E6335B" w:rsidP="00E6335B">
            <w:pPr>
              <w:jc w:val="center"/>
              <w:rPr>
                <w:rFonts w:ascii="Arial" w:hAnsi="Arial"/>
                <w:b/>
                <w:sz w:val="20"/>
                <w:szCs w:val="20"/>
              </w:rPr>
            </w:pPr>
            <w:r>
              <w:rPr>
                <w:rFonts w:ascii="Arial" w:hAnsi="Arial"/>
                <w:b/>
                <w:sz w:val="20"/>
                <w:szCs w:val="20"/>
              </w:rPr>
              <w:t>Maquinaria</w:t>
            </w:r>
          </w:p>
        </w:tc>
        <w:tc>
          <w:tcPr>
            <w:tcW w:w="2498" w:type="dxa"/>
            <w:gridSpan w:val="3"/>
            <w:tcBorders>
              <w:top w:val="thinThickLargeGap" w:sz="24" w:space="0" w:color="000090"/>
              <w:left w:val="thinThickLargeGap" w:sz="24" w:space="0" w:color="000090"/>
              <w:bottom w:val="thinThickLargeGap" w:sz="24" w:space="0" w:color="000090"/>
              <w:right w:val="thinThickLargeGap" w:sz="24" w:space="0" w:color="000090"/>
            </w:tcBorders>
            <w:shd w:val="clear" w:color="auto" w:fill="DBE5F1" w:themeFill="accent1" w:themeFillTint="33"/>
          </w:tcPr>
          <w:p w14:paraId="1DD4B78A" w14:textId="77777777" w:rsidR="00E6335B" w:rsidRPr="00531A07" w:rsidRDefault="00E6335B" w:rsidP="00E6335B">
            <w:pPr>
              <w:jc w:val="center"/>
              <w:rPr>
                <w:rFonts w:ascii="Arial" w:hAnsi="Arial"/>
                <w:b/>
                <w:sz w:val="20"/>
                <w:szCs w:val="20"/>
              </w:rPr>
            </w:pPr>
            <w:r>
              <w:rPr>
                <w:rFonts w:ascii="Arial" w:hAnsi="Arial"/>
                <w:b/>
                <w:sz w:val="20"/>
                <w:szCs w:val="20"/>
              </w:rPr>
              <w:t>Mano de Obra</w:t>
            </w:r>
          </w:p>
        </w:tc>
      </w:tr>
      <w:tr w:rsidR="00E6335B" w:rsidRPr="00531A07" w14:paraId="20911349" w14:textId="77777777" w:rsidTr="000640B4">
        <w:tc>
          <w:tcPr>
            <w:tcW w:w="1273" w:type="dxa"/>
            <w:tcBorders>
              <w:top w:val="thinThickLargeGap" w:sz="24" w:space="0" w:color="000090"/>
              <w:left w:val="thinThickLargeGap" w:sz="24" w:space="0" w:color="000090"/>
              <w:bottom w:val="thinThickLargeGap" w:sz="24" w:space="0" w:color="000090"/>
              <w:right w:val="thinThickLargeGap" w:sz="24" w:space="0" w:color="000090"/>
            </w:tcBorders>
            <w:shd w:val="clear" w:color="auto" w:fill="CCC0D9" w:themeFill="accent4" w:themeFillTint="66"/>
          </w:tcPr>
          <w:p w14:paraId="6C35FFE9" w14:textId="77777777" w:rsidR="00E6335B" w:rsidRPr="00531A07" w:rsidRDefault="00E6335B" w:rsidP="00E6335B">
            <w:pPr>
              <w:jc w:val="center"/>
              <w:rPr>
                <w:rFonts w:ascii="Arial" w:hAnsi="Arial"/>
                <w:b/>
                <w:sz w:val="20"/>
                <w:szCs w:val="20"/>
              </w:rPr>
            </w:pPr>
            <w:r w:rsidRPr="00531A07">
              <w:rPr>
                <w:rFonts w:ascii="Arial" w:hAnsi="Arial"/>
                <w:b/>
                <w:sz w:val="20"/>
                <w:szCs w:val="20"/>
              </w:rPr>
              <w:t>Causa</w:t>
            </w:r>
          </w:p>
        </w:tc>
        <w:tc>
          <w:tcPr>
            <w:tcW w:w="1370" w:type="dxa"/>
            <w:gridSpan w:val="2"/>
            <w:tcBorders>
              <w:top w:val="thinThickLargeGap" w:sz="24" w:space="0" w:color="000090"/>
              <w:left w:val="thinThickLargeGap" w:sz="24" w:space="0" w:color="000090"/>
              <w:bottom w:val="thinThickLargeGap" w:sz="24" w:space="0" w:color="000090"/>
              <w:right w:val="thinThickLargeGap" w:sz="24" w:space="0" w:color="000090"/>
            </w:tcBorders>
            <w:shd w:val="clear" w:color="auto" w:fill="B2A1C7" w:themeFill="accent4" w:themeFillTint="99"/>
          </w:tcPr>
          <w:p w14:paraId="6EA786E0" w14:textId="77777777" w:rsidR="00E6335B" w:rsidRPr="00531A07" w:rsidRDefault="00E6335B" w:rsidP="00E6335B">
            <w:pPr>
              <w:jc w:val="center"/>
              <w:rPr>
                <w:rFonts w:ascii="Arial" w:hAnsi="Arial"/>
                <w:b/>
                <w:sz w:val="20"/>
                <w:szCs w:val="20"/>
              </w:rPr>
            </w:pPr>
            <w:r w:rsidRPr="00531A07">
              <w:rPr>
                <w:rFonts w:ascii="Arial" w:hAnsi="Arial"/>
                <w:b/>
                <w:sz w:val="20"/>
                <w:szCs w:val="20"/>
              </w:rPr>
              <w:t>Efecto</w:t>
            </w:r>
          </w:p>
        </w:tc>
        <w:tc>
          <w:tcPr>
            <w:tcW w:w="1847" w:type="dxa"/>
            <w:gridSpan w:val="2"/>
            <w:tcBorders>
              <w:top w:val="thinThickLargeGap" w:sz="24" w:space="0" w:color="000090"/>
              <w:left w:val="thinThickLargeGap" w:sz="24" w:space="0" w:color="000090"/>
              <w:bottom w:val="thinThickLargeGap" w:sz="24" w:space="0" w:color="000090"/>
              <w:right w:val="thinThickLargeGap" w:sz="24" w:space="0" w:color="000090"/>
            </w:tcBorders>
            <w:shd w:val="clear" w:color="auto" w:fill="E5B8B7" w:themeFill="accent2" w:themeFillTint="66"/>
          </w:tcPr>
          <w:p w14:paraId="2BEE3BAF" w14:textId="77777777" w:rsidR="00E6335B" w:rsidRPr="00531A07" w:rsidRDefault="00E6335B" w:rsidP="00E6335B">
            <w:pPr>
              <w:jc w:val="center"/>
              <w:rPr>
                <w:rFonts w:ascii="Arial" w:hAnsi="Arial"/>
                <w:b/>
                <w:sz w:val="20"/>
                <w:szCs w:val="20"/>
              </w:rPr>
            </w:pPr>
            <w:r w:rsidRPr="00531A07">
              <w:rPr>
                <w:rFonts w:ascii="Arial" w:hAnsi="Arial"/>
                <w:b/>
                <w:sz w:val="20"/>
                <w:szCs w:val="20"/>
              </w:rPr>
              <w:t>Causa</w:t>
            </w:r>
          </w:p>
        </w:tc>
        <w:tc>
          <w:tcPr>
            <w:tcW w:w="1330" w:type="dxa"/>
            <w:tcBorders>
              <w:top w:val="thinThickLargeGap" w:sz="24" w:space="0" w:color="000090"/>
              <w:left w:val="thinThickLargeGap" w:sz="24" w:space="0" w:color="000090"/>
              <w:bottom w:val="thinThickLargeGap" w:sz="24" w:space="0" w:color="000090"/>
              <w:right w:val="thinThickLargeGap" w:sz="24" w:space="0" w:color="000090"/>
            </w:tcBorders>
            <w:shd w:val="clear" w:color="auto" w:fill="D99594" w:themeFill="accent2" w:themeFillTint="99"/>
          </w:tcPr>
          <w:p w14:paraId="6D74693C" w14:textId="77777777" w:rsidR="00E6335B" w:rsidRPr="00531A07" w:rsidRDefault="00E6335B" w:rsidP="00E6335B">
            <w:pPr>
              <w:jc w:val="center"/>
              <w:rPr>
                <w:rFonts w:ascii="Arial" w:hAnsi="Arial"/>
                <w:b/>
                <w:sz w:val="20"/>
                <w:szCs w:val="20"/>
              </w:rPr>
            </w:pPr>
            <w:r w:rsidRPr="00531A07">
              <w:rPr>
                <w:rFonts w:ascii="Arial" w:hAnsi="Arial"/>
                <w:b/>
                <w:sz w:val="20"/>
                <w:szCs w:val="20"/>
              </w:rPr>
              <w:t>Efecto</w:t>
            </w:r>
          </w:p>
        </w:tc>
        <w:tc>
          <w:tcPr>
            <w:tcW w:w="1430" w:type="dxa"/>
            <w:gridSpan w:val="2"/>
            <w:tcBorders>
              <w:top w:val="thinThickLargeGap" w:sz="24" w:space="0" w:color="000090"/>
              <w:left w:val="thinThickLargeGap" w:sz="24" w:space="0" w:color="000090"/>
              <w:bottom w:val="thinThickLargeGap" w:sz="24" w:space="0" w:color="000090"/>
              <w:right w:val="thinThickLargeGap" w:sz="24" w:space="0" w:color="000090"/>
            </w:tcBorders>
            <w:shd w:val="clear" w:color="auto" w:fill="B8CCE4" w:themeFill="accent1" w:themeFillTint="66"/>
          </w:tcPr>
          <w:p w14:paraId="25F619A3" w14:textId="77777777" w:rsidR="00E6335B" w:rsidRPr="00531A07" w:rsidRDefault="00E6335B" w:rsidP="00E6335B">
            <w:pPr>
              <w:jc w:val="center"/>
              <w:rPr>
                <w:rFonts w:ascii="Arial" w:hAnsi="Arial"/>
                <w:b/>
                <w:sz w:val="20"/>
                <w:szCs w:val="20"/>
              </w:rPr>
            </w:pPr>
            <w:r w:rsidRPr="00531A07">
              <w:rPr>
                <w:rFonts w:ascii="Arial" w:hAnsi="Arial"/>
                <w:b/>
                <w:sz w:val="20"/>
                <w:szCs w:val="20"/>
              </w:rPr>
              <w:t>Causa</w:t>
            </w:r>
          </w:p>
        </w:tc>
        <w:tc>
          <w:tcPr>
            <w:tcW w:w="1068" w:type="dxa"/>
            <w:tcBorders>
              <w:top w:val="thinThickLargeGap" w:sz="24" w:space="0" w:color="000090"/>
              <w:left w:val="thinThickLargeGap" w:sz="24" w:space="0" w:color="000090"/>
              <w:bottom w:val="thinThickLargeGap" w:sz="24" w:space="0" w:color="000090"/>
              <w:right w:val="thinThickLargeGap" w:sz="24" w:space="0" w:color="000090"/>
            </w:tcBorders>
            <w:shd w:val="clear" w:color="auto" w:fill="95B3D7" w:themeFill="accent1" w:themeFillTint="99"/>
          </w:tcPr>
          <w:p w14:paraId="6D4238FC" w14:textId="77777777" w:rsidR="00E6335B" w:rsidRPr="00531A07" w:rsidRDefault="00E6335B" w:rsidP="00E6335B">
            <w:pPr>
              <w:jc w:val="center"/>
              <w:rPr>
                <w:rFonts w:ascii="Arial" w:hAnsi="Arial"/>
                <w:b/>
                <w:sz w:val="20"/>
                <w:szCs w:val="20"/>
              </w:rPr>
            </w:pPr>
            <w:r w:rsidRPr="00531A07">
              <w:rPr>
                <w:rFonts w:ascii="Arial" w:hAnsi="Arial"/>
                <w:b/>
                <w:sz w:val="20"/>
                <w:szCs w:val="20"/>
              </w:rPr>
              <w:t>Efecto</w:t>
            </w:r>
          </w:p>
        </w:tc>
      </w:tr>
      <w:tr w:rsidR="00E6335B" w:rsidRPr="00531A07" w14:paraId="200F103F" w14:textId="77777777" w:rsidTr="00F63331">
        <w:trPr>
          <w:trHeight w:val="2661"/>
        </w:trPr>
        <w:tc>
          <w:tcPr>
            <w:tcW w:w="1273" w:type="dxa"/>
            <w:tcBorders>
              <w:top w:val="thinThickLargeGap" w:sz="24" w:space="0" w:color="000090"/>
              <w:left w:val="thinThickLargeGap" w:sz="24" w:space="0" w:color="000090"/>
              <w:bottom w:val="thinThickLargeGap" w:sz="24" w:space="0" w:color="000090"/>
              <w:right w:val="thinThickLargeGap" w:sz="24" w:space="0" w:color="000090"/>
            </w:tcBorders>
          </w:tcPr>
          <w:p w14:paraId="789D952F" w14:textId="6FDFDBE9" w:rsidR="00E6335B" w:rsidRPr="002E2243" w:rsidRDefault="004F30EB" w:rsidP="00E6335B">
            <w:pPr>
              <w:jc w:val="both"/>
              <w:rPr>
                <w:rFonts w:ascii="Arial" w:hAnsi="Arial"/>
                <w:sz w:val="18"/>
                <w:szCs w:val="18"/>
              </w:rPr>
            </w:pPr>
            <w:r>
              <w:rPr>
                <w:rFonts w:ascii="Arial" w:hAnsi="Arial"/>
                <w:sz w:val="18"/>
                <w:szCs w:val="18"/>
              </w:rPr>
              <w:t>Los informes internacionales  destacan p</w:t>
            </w:r>
            <w:r w:rsidR="00E6335B" w:rsidRPr="002E2243">
              <w:rPr>
                <w:rFonts w:ascii="Arial" w:hAnsi="Arial"/>
                <w:sz w:val="18"/>
                <w:szCs w:val="18"/>
              </w:rPr>
              <w:t>roblemas de corrupción e ineficacia en la burocracia.</w:t>
            </w:r>
          </w:p>
        </w:tc>
        <w:tc>
          <w:tcPr>
            <w:tcW w:w="1370" w:type="dxa"/>
            <w:gridSpan w:val="2"/>
            <w:tcBorders>
              <w:top w:val="thinThickLargeGap" w:sz="24" w:space="0" w:color="000090"/>
              <w:left w:val="thinThickLargeGap" w:sz="24" w:space="0" w:color="000090"/>
              <w:bottom w:val="thinThickLargeGap" w:sz="24" w:space="0" w:color="000090"/>
              <w:right w:val="thinThickLargeGap" w:sz="24" w:space="0" w:color="000090"/>
            </w:tcBorders>
          </w:tcPr>
          <w:p w14:paraId="507118B8" w14:textId="77777777" w:rsidR="00E6335B" w:rsidRPr="002E2243" w:rsidRDefault="00E6335B" w:rsidP="00E6335B">
            <w:pPr>
              <w:jc w:val="both"/>
              <w:rPr>
                <w:rFonts w:ascii="Arial" w:hAnsi="Arial"/>
                <w:sz w:val="18"/>
                <w:szCs w:val="18"/>
              </w:rPr>
            </w:pPr>
            <w:r w:rsidRPr="002E2243">
              <w:rPr>
                <w:rFonts w:ascii="Arial" w:hAnsi="Arial"/>
                <w:sz w:val="18"/>
                <w:szCs w:val="18"/>
              </w:rPr>
              <w:t>Bajo nivel de transparencia y confiabilidad.</w:t>
            </w:r>
          </w:p>
        </w:tc>
        <w:tc>
          <w:tcPr>
            <w:tcW w:w="1847" w:type="dxa"/>
            <w:gridSpan w:val="2"/>
            <w:tcBorders>
              <w:top w:val="thinThickLargeGap" w:sz="24" w:space="0" w:color="000090"/>
              <w:left w:val="thinThickLargeGap" w:sz="24" w:space="0" w:color="000090"/>
              <w:bottom w:val="thinThickLargeGap" w:sz="24" w:space="0" w:color="000090"/>
              <w:right w:val="thinThickLargeGap" w:sz="24" w:space="0" w:color="000090"/>
            </w:tcBorders>
          </w:tcPr>
          <w:p w14:paraId="1DCE335F" w14:textId="77777777" w:rsidR="00E6335B" w:rsidRPr="002E2243" w:rsidRDefault="00E6335B" w:rsidP="00E6335B">
            <w:pPr>
              <w:jc w:val="both"/>
              <w:rPr>
                <w:rFonts w:ascii="Arial" w:hAnsi="Arial" w:cs="Arial"/>
                <w:sz w:val="18"/>
                <w:szCs w:val="18"/>
                <w:lang w:val="es-MX"/>
              </w:rPr>
            </w:pPr>
            <w:r w:rsidRPr="002E2243">
              <w:rPr>
                <w:rFonts w:ascii="Arial" w:hAnsi="Arial" w:cs="Arial"/>
                <w:sz w:val="18"/>
                <w:szCs w:val="18"/>
                <w:lang w:val="es-MX"/>
              </w:rPr>
              <w:t xml:space="preserve">Insuficiente cobertura </w:t>
            </w:r>
          </w:p>
          <w:p w14:paraId="0A9585E7" w14:textId="77777777" w:rsidR="00E6335B" w:rsidRPr="002E2243" w:rsidRDefault="00E6335B" w:rsidP="00E6335B">
            <w:pPr>
              <w:jc w:val="both"/>
              <w:rPr>
                <w:rFonts w:ascii="Arial" w:hAnsi="Arial" w:cs="Arial"/>
                <w:sz w:val="18"/>
                <w:szCs w:val="18"/>
                <w:lang w:val="es-MX"/>
              </w:rPr>
            </w:pPr>
            <w:r w:rsidRPr="002E2243">
              <w:rPr>
                <w:rFonts w:ascii="Arial" w:hAnsi="Arial" w:cs="Arial"/>
                <w:sz w:val="18"/>
                <w:szCs w:val="18"/>
                <w:lang w:val="es-MX"/>
              </w:rPr>
              <w:t>en la infraestructura de telecomunicaciones.</w:t>
            </w:r>
          </w:p>
          <w:p w14:paraId="253E9FD9" w14:textId="77777777" w:rsidR="00E6335B" w:rsidRPr="002E2243" w:rsidRDefault="00E6335B" w:rsidP="00E6335B">
            <w:pPr>
              <w:jc w:val="both"/>
              <w:rPr>
                <w:rFonts w:ascii="Arial" w:hAnsi="Arial"/>
                <w:sz w:val="18"/>
                <w:szCs w:val="18"/>
              </w:rPr>
            </w:pPr>
          </w:p>
        </w:tc>
        <w:tc>
          <w:tcPr>
            <w:tcW w:w="1330" w:type="dxa"/>
            <w:tcBorders>
              <w:top w:val="thinThickLargeGap" w:sz="24" w:space="0" w:color="000090"/>
              <w:left w:val="thinThickLargeGap" w:sz="24" w:space="0" w:color="000090"/>
              <w:bottom w:val="thinThickLargeGap" w:sz="24" w:space="0" w:color="000090"/>
              <w:right w:val="thinThickLargeGap" w:sz="24" w:space="0" w:color="000090"/>
            </w:tcBorders>
          </w:tcPr>
          <w:p w14:paraId="6E8712C2" w14:textId="77777777" w:rsidR="00E6335B" w:rsidRPr="00FA6E0F" w:rsidRDefault="00E6335B" w:rsidP="00E6335B">
            <w:pPr>
              <w:jc w:val="both"/>
              <w:rPr>
                <w:rFonts w:ascii="Arial" w:hAnsi="Arial" w:cs="Arial"/>
                <w:sz w:val="18"/>
                <w:szCs w:val="18"/>
                <w:lang w:val="es-MX"/>
              </w:rPr>
            </w:pPr>
            <w:r w:rsidRPr="00FA6E0F">
              <w:rPr>
                <w:rFonts w:ascii="Arial" w:hAnsi="Arial" w:cs="Arial"/>
                <w:sz w:val="18"/>
                <w:szCs w:val="18"/>
                <w:lang w:val="es-MX"/>
              </w:rPr>
              <w:t>Limitado  acceso a la información y al conocimiento.</w:t>
            </w:r>
          </w:p>
          <w:p w14:paraId="4EE78EE4" w14:textId="77777777" w:rsidR="00E6335B" w:rsidRPr="002E2243" w:rsidRDefault="00E6335B" w:rsidP="00E6335B">
            <w:pPr>
              <w:jc w:val="both"/>
              <w:rPr>
                <w:rFonts w:ascii="Arial" w:hAnsi="Arial"/>
                <w:sz w:val="18"/>
                <w:szCs w:val="18"/>
              </w:rPr>
            </w:pPr>
          </w:p>
        </w:tc>
        <w:tc>
          <w:tcPr>
            <w:tcW w:w="1430" w:type="dxa"/>
            <w:gridSpan w:val="2"/>
            <w:tcBorders>
              <w:top w:val="thinThickLargeGap" w:sz="24" w:space="0" w:color="000090"/>
              <w:left w:val="thinThickLargeGap" w:sz="24" w:space="0" w:color="000090"/>
              <w:bottom w:val="thinThickLargeGap" w:sz="24" w:space="0" w:color="000090"/>
              <w:right w:val="thinThickLargeGap" w:sz="24" w:space="0" w:color="000090"/>
            </w:tcBorders>
          </w:tcPr>
          <w:p w14:paraId="2461A8C1" w14:textId="77777777" w:rsidR="00E6335B" w:rsidRDefault="00E6335B" w:rsidP="00E6335B">
            <w:pPr>
              <w:jc w:val="both"/>
              <w:rPr>
                <w:rFonts w:ascii="Arial" w:hAnsi="Arial" w:cs="Arial"/>
                <w:sz w:val="18"/>
                <w:szCs w:val="18"/>
                <w:lang w:val="es-MX"/>
              </w:rPr>
            </w:pPr>
            <w:r w:rsidRPr="00FA6E0F">
              <w:rPr>
                <w:rFonts w:ascii="Arial" w:hAnsi="Arial" w:cs="Arial"/>
                <w:sz w:val="18"/>
                <w:szCs w:val="18"/>
                <w:lang w:val="es-MX"/>
              </w:rPr>
              <w:t>Re</w:t>
            </w:r>
            <w:r>
              <w:rPr>
                <w:rFonts w:ascii="Arial" w:hAnsi="Arial" w:cs="Arial"/>
                <w:sz w:val="18"/>
                <w:szCs w:val="18"/>
                <w:lang w:val="es-MX"/>
              </w:rPr>
              <w:t>ducido número de investigadores.</w:t>
            </w:r>
          </w:p>
          <w:p w14:paraId="5193CB7B" w14:textId="77777777" w:rsidR="00E6335B" w:rsidRDefault="00E6335B" w:rsidP="00E6335B">
            <w:pPr>
              <w:jc w:val="both"/>
              <w:rPr>
                <w:rFonts w:ascii="Arial" w:hAnsi="Arial" w:cs="Arial"/>
                <w:sz w:val="18"/>
                <w:szCs w:val="18"/>
                <w:lang w:val="es-MX"/>
              </w:rPr>
            </w:pPr>
          </w:p>
          <w:p w14:paraId="2DF1FF95" w14:textId="77777777" w:rsidR="00E6335B" w:rsidRDefault="00E6335B" w:rsidP="00E6335B">
            <w:pPr>
              <w:jc w:val="both"/>
              <w:rPr>
                <w:rFonts w:ascii="Arial" w:hAnsi="Arial" w:cs="Arial"/>
                <w:sz w:val="18"/>
                <w:szCs w:val="18"/>
                <w:lang w:val="es-MX"/>
              </w:rPr>
            </w:pPr>
          </w:p>
          <w:p w14:paraId="37E6BF10" w14:textId="77777777" w:rsidR="00E6335B" w:rsidRDefault="00E6335B" w:rsidP="00E6335B">
            <w:pPr>
              <w:jc w:val="both"/>
              <w:rPr>
                <w:rFonts w:ascii="Arial" w:hAnsi="Arial" w:cs="Arial"/>
                <w:sz w:val="18"/>
                <w:szCs w:val="18"/>
                <w:lang w:val="es-MX"/>
              </w:rPr>
            </w:pPr>
          </w:p>
          <w:p w14:paraId="2A3C8AAD" w14:textId="77777777" w:rsidR="00E6335B" w:rsidRDefault="00E6335B" w:rsidP="00E6335B">
            <w:pPr>
              <w:jc w:val="both"/>
              <w:rPr>
                <w:rFonts w:ascii="Arial" w:hAnsi="Arial" w:cs="Arial"/>
                <w:sz w:val="18"/>
                <w:szCs w:val="18"/>
                <w:lang w:val="es-MX"/>
              </w:rPr>
            </w:pPr>
            <w:r>
              <w:rPr>
                <w:rFonts w:ascii="Arial" w:hAnsi="Arial" w:cs="Arial"/>
                <w:sz w:val="18"/>
                <w:szCs w:val="18"/>
                <w:lang w:val="es-MX"/>
              </w:rPr>
              <w:t>Baja formación de personal altamente capacitado con estudios de posgrado.</w:t>
            </w:r>
          </w:p>
          <w:p w14:paraId="6FA0DBB9" w14:textId="77777777" w:rsidR="00E6335B" w:rsidRDefault="00E6335B" w:rsidP="00E6335B">
            <w:pPr>
              <w:jc w:val="both"/>
              <w:rPr>
                <w:rFonts w:ascii="Arial" w:hAnsi="Arial" w:cs="Arial"/>
                <w:sz w:val="18"/>
                <w:szCs w:val="18"/>
                <w:lang w:val="es-MX"/>
              </w:rPr>
            </w:pPr>
          </w:p>
          <w:p w14:paraId="091A2FFD" w14:textId="77777777" w:rsidR="00E6335B" w:rsidRDefault="00E6335B" w:rsidP="00E6335B">
            <w:pPr>
              <w:jc w:val="both"/>
              <w:rPr>
                <w:rFonts w:ascii="Arial" w:hAnsi="Arial" w:cs="Arial"/>
                <w:sz w:val="18"/>
                <w:szCs w:val="18"/>
                <w:lang w:val="es-MX"/>
              </w:rPr>
            </w:pPr>
          </w:p>
          <w:p w14:paraId="4CAFA00D" w14:textId="77777777" w:rsidR="00E6335B" w:rsidRDefault="00E6335B" w:rsidP="00E6335B">
            <w:pPr>
              <w:jc w:val="both"/>
              <w:rPr>
                <w:rFonts w:ascii="Arial" w:hAnsi="Arial" w:cs="Arial"/>
                <w:sz w:val="18"/>
                <w:szCs w:val="18"/>
                <w:lang w:val="es-MX"/>
              </w:rPr>
            </w:pPr>
          </w:p>
          <w:p w14:paraId="089BF3D5" w14:textId="77777777" w:rsidR="00E6335B" w:rsidRPr="00FA6E0F" w:rsidRDefault="00E6335B" w:rsidP="00E6335B">
            <w:pPr>
              <w:jc w:val="both"/>
              <w:rPr>
                <w:rFonts w:ascii="Arial" w:hAnsi="Arial" w:cs="Arial"/>
                <w:sz w:val="18"/>
                <w:szCs w:val="18"/>
                <w:lang w:val="es-MX"/>
              </w:rPr>
            </w:pPr>
          </w:p>
          <w:p w14:paraId="61E5F570" w14:textId="77777777" w:rsidR="00E6335B" w:rsidRPr="002E2243" w:rsidRDefault="00E6335B" w:rsidP="00E6335B">
            <w:pPr>
              <w:jc w:val="both"/>
              <w:rPr>
                <w:rFonts w:ascii="Arial" w:hAnsi="Arial"/>
                <w:sz w:val="18"/>
                <w:szCs w:val="18"/>
              </w:rPr>
            </w:pPr>
          </w:p>
        </w:tc>
        <w:tc>
          <w:tcPr>
            <w:tcW w:w="1068" w:type="dxa"/>
            <w:tcBorders>
              <w:top w:val="thinThickLargeGap" w:sz="24" w:space="0" w:color="000090"/>
              <w:left w:val="thinThickLargeGap" w:sz="24" w:space="0" w:color="000090"/>
              <w:bottom w:val="thinThickLargeGap" w:sz="24" w:space="0" w:color="000090"/>
              <w:right w:val="thinThickLargeGap" w:sz="24" w:space="0" w:color="000090"/>
            </w:tcBorders>
          </w:tcPr>
          <w:p w14:paraId="4E05B955" w14:textId="77777777" w:rsidR="00E6335B" w:rsidRPr="00FA6E0F" w:rsidRDefault="00E6335B" w:rsidP="00E6335B">
            <w:pPr>
              <w:rPr>
                <w:rFonts w:ascii="Arial" w:hAnsi="Arial" w:cs="Arial"/>
                <w:sz w:val="16"/>
                <w:szCs w:val="16"/>
                <w:lang w:val="es-MX"/>
              </w:rPr>
            </w:pPr>
            <w:r w:rsidRPr="00FA6E0F">
              <w:rPr>
                <w:rFonts w:ascii="Arial" w:hAnsi="Arial" w:cs="Arial"/>
                <w:sz w:val="18"/>
                <w:szCs w:val="18"/>
                <w:lang w:val="es-MX"/>
              </w:rPr>
              <w:t xml:space="preserve">1.7 investigadores por cada 10 mil habitantes </w:t>
            </w:r>
            <w:r w:rsidRPr="00FA6E0F">
              <w:rPr>
                <w:rFonts w:ascii="Arial" w:hAnsi="Arial" w:cs="Arial"/>
                <w:sz w:val="16"/>
                <w:szCs w:val="16"/>
                <w:lang w:val="es-MX"/>
              </w:rPr>
              <w:t>(CONACYT,2011)</w:t>
            </w:r>
          </w:p>
          <w:p w14:paraId="4CA3BE15" w14:textId="77777777" w:rsidR="00E6335B" w:rsidRDefault="00E6335B" w:rsidP="00E6335B">
            <w:pPr>
              <w:jc w:val="center"/>
              <w:rPr>
                <w:rFonts w:ascii="Arial" w:hAnsi="Arial" w:cs="Arial"/>
                <w:sz w:val="16"/>
                <w:szCs w:val="16"/>
                <w:lang w:val="es-MX"/>
              </w:rPr>
            </w:pPr>
          </w:p>
          <w:p w14:paraId="40BFFB0E" w14:textId="77777777" w:rsidR="00E6335B" w:rsidRPr="00FA6E0F" w:rsidRDefault="00E6335B" w:rsidP="00E6335B">
            <w:pPr>
              <w:jc w:val="both"/>
              <w:rPr>
                <w:rFonts w:ascii="Arial" w:hAnsi="Arial"/>
                <w:sz w:val="18"/>
                <w:szCs w:val="18"/>
              </w:rPr>
            </w:pPr>
            <w:r w:rsidRPr="00FA6E0F">
              <w:rPr>
                <w:rFonts w:ascii="Arial" w:hAnsi="Arial" w:cs="Arial"/>
                <w:sz w:val="18"/>
                <w:szCs w:val="18"/>
                <w:lang w:val="es-MX"/>
              </w:rPr>
              <w:t xml:space="preserve">Un décimo  de doctores por millón de habitantes </w:t>
            </w:r>
            <w:r w:rsidRPr="00FA6E0F">
              <w:rPr>
                <w:rFonts w:ascii="Arial" w:hAnsi="Arial" w:cs="Arial"/>
                <w:sz w:val="16"/>
                <w:szCs w:val="16"/>
                <w:lang w:val="es-MX"/>
              </w:rPr>
              <w:t>(PND, 2013-2018)</w:t>
            </w:r>
          </w:p>
        </w:tc>
      </w:tr>
    </w:tbl>
    <w:p w14:paraId="1BAC0D78" w14:textId="77777777" w:rsidR="00E6335B" w:rsidRDefault="00E6335B" w:rsidP="00CD4435">
      <w:pPr>
        <w:spacing w:line="360" w:lineRule="auto"/>
        <w:jc w:val="center"/>
        <w:rPr>
          <w:rFonts w:ascii="Arial" w:hAnsi="Arial" w:cs="Arial"/>
          <w:b/>
          <w:noProof/>
          <w:kern w:val="12"/>
          <w:lang w:val="es-ES"/>
        </w:rPr>
      </w:pPr>
    </w:p>
    <w:p w14:paraId="29FBD544" w14:textId="349E0F2C" w:rsidR="00DE4600" w:rsidRPr="003F49A1" w:rsidRDefault="00DE4600" w:rsidP="003F49A1">
      <w:pPr>
        <w:spacing w:line="360" w:lineRule="auto"/>
        <w:jc w:val="center"/>
        <w:rPr>
          <w:rFonts w:ascii="Times New Roman" w:hAnsi="Times New Roman" w:cs="Times New Roman"/>
          <w:szCs w:val="20"/>
        </w:rPr>
      </w:pPr>
      <w:r w:rsidRPr="003F49A1">
        <w:rPr>
          <w:rFonts w:ascii="Times New Roman" w:hAnsi="Times New Roman" w:cs="Times New Roman"/>
          <w:b/>
          <w:szCs w:val="20"/>
        </w:rPr>
        <w:t>Nota:</w:t>
      </w:r>
      <w:r w:rsidRPr="003F49A1">
        <w:rPr>
          <w:rFonts w:ascii="Times New Roman" w:hAnsi="Times New Roman" w:cs="Times New Roman"/>
          <w:szCs w:val="20"/>
        </w:rPr>
        <w:t xml:space="preserve"> Adaptado del Diagrama de causa-efecto. Ishikawa.</w:t>
      </w:r>
    </w:p>
    <w:p w14:paraId="328D79C1" w14:textId="77777777" w:rsidR="00E6335B" w:rsidRDefault="00E6335B" w:rsidP="00CD4435">
      <w:pPr>
        <w:spacing w:line="360" w:lineRule="auto"/>
        <w:jc w:val="center"/>
        <w:rPr>
          <w:rFonts w:ascii="Arial" w:hAnsi="Arial" w:cs="Arial"/>
          <w:b/>
          <w:kern w:val="12"/>
        </w:rPr>
      </w:pPr>
    </w:p>
    <w:p w14:paraId="792A5519" w14:textId="77777777" w:rsidR="00CD4435" w:rsidRDefault="00CD4435" w:rsidP="00CD4435">
      <w:pPr>
        <w:spacing w:line="360" w:lineRule="auto"/>
        <w:jc w:val="center"/>
        <w:rPr>
          <w:rFonts w:ascii="Arial" w:hAnsi="Arial" w:cs="Arial"/>
          <w:b/>
          <w:kern w:val="12"/>
        </w:rPr>
      </w:pPr>
    </w:p>
    <w:p w14:paraId="2A3FAA15" w14:textId="77777777" w:rsidR="000C3461" w:rsidRDefault="000C3461" w:rsidP="002D2C90">
      <w:pPr>
        <w:tabs>
          <w:tab w:val="left" w:pos="490"/>
        </w:tabs>
        <w:spacing w:line="360" w:lineRule="auto"/>
        <w:jc w:val="both"/>
        <w:rPr>
          <w:rFonts w:ascii="Arial" w:hAnsi="Arial" w:cs="Arial"/>
          <w:b/>
        </w:rPr>
      </w:pPr>
    </w:p>
    <w:p w14:paraId="01D7B8A7" w14:textId="184D2207" w:rsidR="000C3461" w:rsidRPr="003F49A1" w:rsidRDefault="00994724" w:rsidP="002D2C90">
      <w:pPr>
        <w:tabs>
          <w:tab w:val="left" w:pos="490"/>
        </w:tabs>
        <w:spacing w:line="360" w:lineRule="auto"/>
        <w:jc w:val="both"/>
        <w:rPr>
          <w:rFonts w:ascii="Times New Roman" w:hAnsi="Times New Roman" w:cs="Times New Roman"/>
        </w:rPr>
      </w:pPr>
      <w:r w:rsidRPr="003F49A1">
        <w:rPr>
          <w:rFonts w:ascii="Times New Roman" w:hAnsi="Times New Roman" w:cs="Times New Roman"/>
        </w:rPr>
        <w:lastRenderedPageBreak/>
        <w:t>Por lo anterior</w:t>
      </w:r>
      <w:r w:rsidR="000C3461" w:rsidRPr="003F49A1">
        <w:rPr>
          <w:rFonts w:ascii="Times New Roman" w:hAnsi="Times New Roman" w:cs="Times New Roman"/>
        </w:rPr>
        <w:t xml:space="preserve">, </w:t>
      </w:r>
      <w:r w:rsidRPr="003F49A1">
        <w:rPr>
          <w:rFonts w:ascii="Times New Roman" w:hAnsi="Times New Roman" w:cs="Times New Roman"/>
        </w:rPr>
        <w:t xml:space="preserve">a continuación </w:t>
      </w:r>
      <w:r w:rsidR="00FA1ABD" w:rsidRPr="003F49A1">
        <w:rPr>
          <w:rFonts w:ascii="Times New Roman" w:hAnsi="Times New Roman" w:cs="Times New Roman"/>
        </w:rPr>
        <w:t>se muestra la interpretación de</w:t>
      </w:r>
      <w:r w:rsidRPr="003F49A1">
        <w:rPr>
          <w:rFonts w:ascii="Times New Roman" w:hAnsi="Times New Roman" w:cs="Times New Roman"/>
        </w:rPr>
        <w:t xml:space="preserve">l diagrama </w:t>
      </w:r>
      <w:r w:rsidR="00FA1ABD" w:rsidRPr="003F49A1">
        <w:rPr>
          <w:rFonts w:ascii="Times New Roman" w:hAnsi="Times New Roman" w:cs="Times New Roman"/>
        </w:rPr>
        <w:t>de causa-efecto en cada uno de los rubros que integran la técnica de las 6 Ms.</w:t>
      </w:r>
    </w:p>
    <w:p w14:paraId="7938521A" w14:textId="77777777" w:rsidR="000C3461" w:rsidRPr="003F49A1" w:rsidRDefault="000C3461" w:rsidP="002D2C90">
      <w:pPr>
        <w:tabs>
          <w:tab w:val="left" w:pos="490"/>
        </w:tabs>
        <w:spacing w:line="360" w:lineRule="auto"/>
        <w:jc w:val="both"/>
        <w:rPr>
          <w:rFonts w:ascii="Times New Roman" w:hAnsi="Times New Roman" w:cs="Times New Roman"/>
        </w:rPr>
      </w:pPr>
    </w:p>
    <w:p w14:paraId="38223BAE" w14:textId="09F41478" w:rsidR="002D2C90" w:rsidRPr="003F49A1" w:rsidRDefault="002D2C90" w:rsidP="002D2C90">
      <w:pPr>
        <w:tabs>
          <w:tab w:val="left" w:pos="490"/>
        </w:tabs>
        <w:spacing w:line="360" w:lineRule="auto"/>
        <w:jc w:val="both"/>
        <w:rPr>
          <w:rFonts w:ascii="Times New Roman" w:hAnsi="Times New Roman" w:cs="Times New Roman"/>
        </w:rPr>
      </w:pPr>
      <w:r w:rsidRPr="003F49A1">
        <w:rPr>
          <w:rFonts w:ascii="Times New Roman" w:hAnsi="Times New Roman" w:cs="Times New Roman"/>
          <w:b/>
        </w:rPr>
        <w:t>Materiales.</w:t>
      </w:r>
      <w:r w:rsidR="00FA1ABD" w:rsidRPr="003F49A1">
        <w:rPr>
          <w:rFonts w:ascii="Times New Roman" w:hAnsi="Times New Roman" w:cs="Times New Roman"/>
        </w:rPr>
        <w:t xml:space="preserve"> Se tomó</w:t>
      </w:r>
      <w:r w:rsidRPr="003F49A1">
        <w:rPr>
          <w:rFonts w:ascii="Times New Roman" w:hAnsi="Times New Roman" w:cs="Times New Roman"/>
        </w:rPr>
        <w:t xml:space="preserve"> como base del análisis el índice de la economía del conocimiento del Banco Mundial, en donde se destaca la baja inversión en ciencia y tecnología.</w:t>
      </w:r>
    </w:p>
    <w:p w14:paraId="14585D40" w14:textId="77777777" w:rsidR="002D2C90" w:rsidRPr="003F49A1" w:rsidRDefault="002D2C90" w:rsidP="002D2C90">
      <w:pPr>
        <w:tabs>
          <w:tab w:val="left" w:pos="490"/>
        </w:tabs>
        <w:spacing w:line="360" w:lineRule="auto"/>
        <w:jc w:val="both"/>
        <w:rPr>
          <w:rFonts w:ascii="Times New Roman" w:hAnsi="Times New Roman" w:cs="Times New Roman"/>
        </w:rPr>
      </w:pPr>
    </w:p>
    <w:p w14:paraId="1CFE2E54" w14:textId="5FCF14F5" w:rsidR="002D2C90" w:rsidRPr="003F49A1" w:rsidRDefault="002D2C90" w:rsidP="002D2C90">
      <w:pPr>
        <w:tabs>
          <w:tab w:val="left" w:pos="490"/>
        </w:tabs>
        <w:spacing w:line="360" w:lineRule="auto"/>
        <w:jc w:val="both"/>
        <w:rPr>
          <w:rFonts w:ascii="Times New Roman" w:hAnsi="Times New Roman" w:cs="Times New Roman"/>
        </w:rPr>
      </w:pPr>
      <w:r w:rsidRPr="003F49A1">
        <w:rPr>
          <w:rFonts w:ascii="Times New Roman" w:hAnsi="Times New Roman" w:cs="Times New Roman"/>
          <w:b/>
        </w:rPr>
        <w:t>Método.</w:t>
      </w:r>
      <w:r w:rsidRPr="003F49A1">
        <w:rPr>
          <w:rFonts w:ascii="Times New Roman" w:hAnsi="Times New Roman" w:cs="Times New Roman"/>
        </w:rPr>
        <w:t xml:space="preserve"> </w:t>
      </w:r>
      <w:r w:rsidR="00FA1ABD" w:rsidRPr="003F49A1">
        <w:rPr>
          <w:rFonts w:ascii="Times New Roman" w:hAnsi="Times New Roman" w:cs="Times New Roman"/>
        </w:rPr>
        <w:t xml:space="preserve">La metodología utilizada en los cuatro parámetros </w:t>
      </w:r>
      <w:r w:rsidR="00955C4A" w:rsidRPr="003F49A1">
        <w:rPr>
          <w:rFonts w:ascii="Times New Roman" w:hAnsi="Times New Roman" w:cs="Times New Roman"/>
        </w:rPr>
        <w:t>internacionales, se basan en indicadores que evalúan la economía del</w:t>
      </w:r>
      <w:r w:rsidRPr="003F49A1">
        <w:rPr>
          <w:rFonts w:ascii="Times New Roman" w:hAnsi="Times New Roman" w:cs="Times New Roman"/>
        </w:rPr>
        <w:t xml:space="preserve"> conocimiento para ser competitivos a nivel global. En el caso de México, el sistema de innovación no es dinámico, debido a la falta de vinculación de las patentes en la industria para su comercialización y uso.</w:t>
      </w:r>
    </w:p>
    <w:p w14:paraId="5E440A54" w14:textId="77777777" w:rsidR="002D2C90" w:rsidRPr="003F49A1" w:rsidRDefault="002D2C90" w:rsidP="002D2C90">
      <w:pPr>
        <w:tabs>
          <w:tab w:val="left" w:pos="490"/>
        </w:tabs>
        <w:spacing w:line="360" w:lineRule="auto"/>
        <w:jc w:val="both"/>
        <w:rPr>
          <w:rFonts w:ascii="Times New Roman" w:hAnsi="Times New Roman" w:cs="Times New Roman"/>
        </w:rPr>
      </w:pPr>
    </w:p>
    <w:p w14:paraId="6A7289B6" w14:textId="366ADE4F" w:rsidR="007F71B3" w:rsidRPr="003F49A1" w:rsidRDefault="002D2C90" w:rsidP="007F71B3">
      <w:pPr>
        <w:tabs>
          <w:tab w:val="left" w:pos="490"/>
        </w:tabs>
        <w:spacing w:line="360" w:lineRule="auto"/>
        <w:jc w:val="both"/>
        <w:rPr>
          <w:rFonts w:ascii="Times New Roman" w:hAnsi="Times New Roman" w:cs="Times New Roman"/>
        </w:rPr>
      </w:pPr>
      <w:r w:rsidRPr="003F49A1">
        <w:rPr>
          <w:rFonts w:ascii="Times New Roman" w:hAnsi="Times New Roman" w:cs="Times New Roman"/>
          <w:b/>
        </w:rPr>
        <w:t>Medición.</w:t>
      </w:r>
      <w:r w:rsidRPr="003F49A1">
        <w:rPr>
          <w:rFonts w:ascii="Times New Roman" w:hAnsi="Times New Roman" w:cs="Times New Roman"/>
        </w:rPr>
        <w:t xml:space="preserve"> </w:t>
      </w:r>
      <w:r w:rsidR="007F71B3" w:rsidRPr="003F49A1">
        <w:rPr>
          <w:rFonts w:ascii="Times New Roman" w:hAnsi="Times New Roman" w:cs="Times New Roman"/>
        </w:rPr>
        <w:t>En el índice del Banco Mundial se evalúan 14</w:t>
      </w:r>
      <w:r w:rsidR="00A112E1" w:rsidRPr="003F49A1">
        <w:rPr>
          <w:rFonts w:ascii="Times New Roman" w:hAnsi="Times New Roman" w:cs="Times New Roman"/>
        </w:rPr>
        <w:t>8</w:t>
      </w:r>
      <w:r w:rsidR="007F71B3" w:rsidRPr="003F49A1">
        <w:rPr>
          <w:rFonts w:ascii="Times New Roman" w:hAnsi="Times New Roman" w:cs="Times New Roman"/>
        </w:rPr>
        <w:t xml:space="preserve"> variables, a través de cuatro pilares: Régimen económico e institucional, población educativa y capacitada, sistema de innovación eficiente e infraestructura dinámica de información, en donde se identifica rezago en tres pilares con excepción del régimen económico e institucional. Respecto a la metodología del RICYT, la medición se basa en</w:t>
      </w:r>
      <w:r w:rsidR="00955C4A" w:rsidRPr="003F49A1">
        <w:rPr>
          <w:rFonts w:ascii="Times New Roman" w:hAnsi="Times New Roman" w:cs="Times New Roman"/>
        </w:rPr>
        <w:t xml:space="preserve"> 65 indicadores divididos en 5 áreas</w:t>
      </w:r>
      <w:r w:rsidR="007F71B3" w:rsidRPr="003F49A1">
        <w:rPr>
          <w:rFonts w:ascii="Times New Roman" w:hAnsi="Times New Roman" w:cs="Times New Roman"/>
        </w:rPr>
        <w:t xml:space="preserve">, en donde </w:t>
      </w:r>
      <w:r w:rsidR="00955C4A" w:rsidRPr="003F49A1">
        <w:rPr>
          <w:rFonts w:ascii="Times New Roman" w:hAnsi="Times New Roman" w:cs="Times New Roman"/>
        </w:rPr>
        <w:t>s</w:t>
      </w:r>
      <w:r w:rsidR="007F71B3" w:rsidRPr="003F49A1">
        <w:rPr>
          <w:rFonts w:ascii="Times New Roman" w:hAnsi="Times New Roman" w:cs="Times New Roman"/>
        </w:rPr>
        <w:t>e destaca que en México hay un porcentaje bajo de publicaciones, además las patentes superan a los</w:t>
      </w:r>
      <w:r w:rsidR="00784111" w:rsidRPr="003F49A1">
        <w:rPr>
          <w:rFonts w:ascii="Times New Roman" w:hAnsi="Times New Roman" w:cs="Times New Roman"/>
        </w:rPr>
        <w:t xml:space="preserve"> titulares. Asimismo</w:t>
      </w:r>
      <w:r w:rsidR="007F71B3" w:rsidRPr="003F49A1">
        <w:rPr>
          <w:rFonts w:ascii="Times New Roman" w:hAnsi="Times New Roman" w:cs="Times New Roman"/>
        </w:rPr>
        <w:t xml:space="preserve"> en la metodología del conocimiento en ciencia y tecnología, la cual centra sus 15 variables en el sector productivo y en la sustentabilidad del conocimiento, en 5 ejes fundamentales: Capital humano, financiero y del conocimiento, así como producción económica regional y sustentabilidad del conocimiento, en donde se destaca que el sector productivo requiere de capital humano especiali</w:t>
      </w:r>
      <w:r w:rsidR="00784111" w:rsidRPr="003F49A1">
        <w:rPr>
          <w:rFonts w:ascii="Times New Roman" w:hAnsi="Times New Roman" w:cs="Times New Roman"/>
        </w:rPr>
        <w:t>zado en ingeniería y tecnología.</w:t>
      </w:r>
      <w:r w:rsidR="004F247D" w:rsidRPr="003F49A1">
        <w:rPr>
          <w:rFonts w:ascii="Times New Roman" w:hAnsi="Times New Roman" w:cs="Times New Roman"/>
        </w:rPr>
        <w:t xml:space="preserve"> Además el índice del Foro Económico Mundial evalúa</w:t>
      </w:r>
      <w:r w:rsidR="004F247D" w:rsidRPr="003F49A1">
        <w:rPr>
          <w:rFonts w:ascii="Times New Roman" w:hAnsi="Times New Roman" w:cs="Times New Roman"/>
          <w:lang w:val="es-ES"/>
        </w:rPr>
        <w:t>109 variables y 12 pilares agrupados en 3 subíndices.</w:t>
      </w:r>
    </w:p>
    <w:p w14:paraId="4719FB23" w14:textId="77777777" w:rsidR="007F71B3" w:rsidRPr="003F49A1" w:rsidRDefault="007F71B3" w:rsidP="007F71B3">
      <w:pPr>
        <w:tabs>
          <w:tab w:val="left" w:pos="490"/>
        </w:tabs>
        <w:spacing w:line="360" w:lineRule="auto"/>
        <w:jc w:val="both"/>
        <w:rPr>
          <w:rFonts w:ascii="Times New Roman" w:hAnsi="Times New Roman" w:cs="Times New Roman"/>
        </w:rPr>
      </w:pPr>
    </w:p>
    <w:p w14:paraId="4AC43665" w14:textId="77777777" w:rsidR="007F71B3" w:rsidRPr="003F49A1" w:rsidRDefault="007F71B3" w:rsidP="007F71B3">
      <w:pPr>
        <w:tabs>
          <w:tab w:val="left" w:pos="490"/>
        </w:tabs>
        <w:spacing w:line="360" w:lineRule="auto"/>
        <w:jc w:val="both"/>
        <w:rPr>
          <w:rFonts w:ascii="Times New Roman" w:hAnsi="Times New Roman" w:cs="Times New Roman"/>
        </w:rPr>
      </w:pPr>
      <w:r w:rsidRPr="003F49A1">
        <w:rPr>
          <w:rFonts w:ascii="Times New Roman" w:hAnsi="Times New Roman" w:cs="Times New Roman"/>
          <w:b/>
        </w:rPr>
        <w:t>Mano de obra.</w:t>
      </w:r>
      <w:r w:rsidRPr="003F49A1">
        <w:rPr>
          <w:rFonts w:ascii="Times New Roman" w:hAnsi="Times New Roman" w:cs="Times New Roman"/>
        </w:rPr>
        <w:t xml:space="preserve"> En el análisis se destaca el reducido número de investigadores, así como escasa eficiencia terminal en el nivel superior para el ingreso a estudios de posgrado.</w:t>
      </w:r>
    </w:p>
    <w:p w14:paraId="6467A1DF" w14:textId="77777777" w:rsidR="007F71B3" w:rsidRPr="003F49A1" w:rsidRDefault="007F71B3" w:rsidP="007F71B3">
      <w:pPr>
        <w:tabs>
          <w:tab w:val="left" w:pos="490"/>
        </w:tabs>
        <w:spacing w:line="360" w:lineRule="auto"/>
        <w:jc w:val="both"/>
        <w:rPr>
          <w:rFonts w:ascii="Times New Roman" w:hAnsi="Times New Roman" w:cs="Times New Roman"/>
        </w:rPr>
      </w:pPr>
    </w:p>
    <w:p w14:paraId="76B9D867" w14:textId="77777777" w:rsidR="007F71B3" w:rsidRPr="003F49A1" w:rsidRDefault="007F71B3" w:rsidP="007F71B3">
      <w:pPr>
        <w:tabs>
          <w:tab w:val="left" w:pos="490"/>
        </w:tabs>
        <w:spacing w:line="360" w:lineRule="auto"/>
        <w:jc w:val="both"/>
        <w:rPr>
          <w:rFonts w:ascii="Times New Roman" w:hAnsi="Times New Roman" w:cs="Times New Roman"/>
        </w:rPr>
      </w:pPr>
      <w:r w:rsidRPr="003F49A1">
        <w:rPr>
          <w:rFonts w:ascii="Times New Roman" w:hAnsi="Times New Roman" w:cs="Times New Roman"/>
          <w:b/>
        </w:rPr>
        <w:lastRenderedPageBreak/>
        <w:t>Maquinaria.</w:t>
      </w:r>
      <w:r w:rsidRPr="003F49A1">
        <w:rPr>
          <w:rFonts w:ascii="Times New Roman" w:hAnsi="Times New Roman" w:cs="Times New Roman"/>
        </w:rPr>
        <w:t xml:space="preserve"> La insuficiente cobertura de infraestructura de telecomunicaciones a nivel local y regional, limita el acceso a la información y al conocimiento para la formación de alumnos en los diversos niveles educativos, así como a la sociedad en general.</w:t>
      </w:r>
    </w:p>
    <w:p w14:paraId="52AFD2F0" w14:textId="77777777" w:rsidR="007F71B3" w:rsidRPr="003F49A1" w:rsidRDefault="007F71B3" w:rsidP="007F71B3">
      <w:pPr>
        <w:tabs>
          <w:tab w:val="left" w:pos="490"/>
        </w:tabs>
        <w:spacing w:line="360" w:lineRule="auto"/>
        <w:jc w:val="both"/>
        <w:rPr>
          <w:rFonts w:ascii="Times New Roman" w:hAnsi="Times New Roman" w:cs="Times New Roman"/>
          <w:b/>
        </w:rPr>
      </w:pPr>
    </w:p>
    <w:p w14:paraId="3E3C3434" w14:textId="757BAE9D" w:rsidR="007F71B3" w:rsidRDefault="007F71B3" w:rsidP="007F71B3">
      <w:pPr>
        <w:tabs>
          <w:tab w:val="left" w:pos="490"/>
        </w:tabs>
        <w:spacing w:line="360" w:lineRule="auto"/>
        <w:jc w:val="both"/>
        <w:rPr>
          <w:rFonts w:ascii="Arial" w:hAnsi="Arial" w:cs="Arial"/>
        </w:rPr>
      </w:pPr>
      <w:r w:rsidRPr="003F49A1">
        <w:rPr>
          <w:rFonts w:ascii="Times New Roman" w:hAnsi="Times New Roman" w:cs="Times New Roman"/>
          <w:b/>
        </w:rPr>
        <w:t>Medio ambiente.</w:t>
      </w:r>
      <w:r w:rsidRPr="003F49A1">
        <w:rPr>
          <w:rFonts w:ascii="Times New Roman" w:hAnsi="Times New Roman" w:cs="Times New Roman"/>
        </w:rPr>
        <w:t xml:space="preserve"> El análisis  refleja baja competitividad económica por el impacto que ocasiona la reducida participación en la Sociedad del Conocimiento, como consecuencia de la debilidad identificada en la calidad de la educación</w:t>
      </w:r>
      <w:r w:rsidR="00784111" w:rsidRPr="003F49A1">
        <w:rPr>
          <w:rFonts w:ascii="Times New Roman" w:hAnsi="Times New Roman" w:cs="Times New Roman"/>
        </w:rPr>
        <w:t xml:space="preserve"> y la falta de transparencia</w:t>
      </w:r>
      <w:r w:rsidR="00F4093F" w:rsidRPr="003F49A1">
        <w:rPr>
          <w:rFonts w:ascii="Times New Roman" w:hAnsi="Times New Roman" w:cs="Times New Roman"/>
        </w:rPr>
        <w:t xml:space="preserve"> en las instituciones</w:t>
      </w:r>
      <w:r w:rsidRPr="003F49A1">
        <w:rPr>
          <w:rFonts w:ascii="Times New Roman" w:hAnsi="Times New Roman" w:cs="Times New Roman"/>
        </w:rPr>
        <w:t>.</w:t>
      </w:r>
    </w:p>
    <w:p w14:paraId="697BB1C0" w14:textId="77777777" w:rsidR="00DE77C8" w:rsidRDefault="00DE77C8" w:rsidP="000537B1">
      <w:pPr>
        <w:spacing w:line="360" w:lineRule="auto"/>
        <w:jc w:val="both"/>
        <w:rPr>
          <w:rFonts w:ascii="Arial" w:hAnsi="Arial" w:cs="Arial"/>
        </w:rPr>
      </w:pPr>
    </w:p>
    <w:p w14:paraId="6DF3DCFE" w14:textId="4AFAC7C6" w:rsidR="000537B1" w:rsidRPr="003F49A1" w:rsidRDefault="003F49A1" w:rsidP="000537B1">
      <w:pPr>
        <w:spacing w:line="360" w:lineRule="auto"/>
        <w:jc w:val="both"/>
        <w:rPr>
          <w:rFonts w:asciiTheme="majorHAnsi" w:hAnsiTheme="majorHAnsi"/>
          <w:b/>
          <w:sz w:val="28"/>
        </w:rPr>
      </w:pPr>
      <w:r>
        <w:rPr>
          <w:rFonts w:asciiTheme="majorHAnsi" w:hAnsiTheme="majorHAnsi"/>
          <w:b/>
          <w:sz w:val="28"/>
        </w:rPr>
        <w:t>Metodología</w:t>
      </w:r>
    </w:p>
    <w:p w14:paraId="4698CD64" w14:textId="77777777" w:rsidR="00CA4BC5" w:rsidRPr="003F49A1" w:rsidRDefault="00CA4BC5" w:rsidP="00CA4BC5">
      <w:pPr>
        <w:spacing w:line="360" w:lineRule="auto"/>
        <w:jc w:val="both"/>
        <w:rPr>
          <w:rFonts w:ascii="Times New Roman" w:hAnsi="Times New Roman" w:cs="Times New Roman"/>
        </w:rPr>
      </w:pPr>
      <w:r w:rsidRPr="003F49A1">
        <w:rPr>
          <w:rFonts w:ascii="Times New Roman" w:hAnsi="Times New Roman" w:cs="Times New Roman"/>
        </w:rPr>
        <w:t>La investigación se basa en los métodos analítico y sistémico, para destacar la interacción de los procesos y los actores que participan en el sector educativo e intervienen en el desarrollo de la ciencia y la tecnología; así también por medio del análisis crítico  de fuentes documentales se pretende crear instrumentos y  estrategias para impulsar la competitividad en México.</w:t>
      </w:r>
    </w:p>
    <w:p w14:paraId="0ACEFC19" w14:textId="77777777" w:rsidR="005640C9" w:rsidRDefault="005640C9" w:rsidP="00B269FD">
      <w:pPr>
        <w:spacing w:line="360" w:lineRule="auto"/>
        <w:jc w:val="both"/>
        <w:rPr>
          <w:rFonts w:ascii="Arial" w:hAnsi="Arial" w:cs="Arial"/>
          <w:b/>
          <w:kern w:val="12"/>
        </w:rPr>
      </w:pPr>
    </w:p>
    <w:p w14:paraId="41AA06A6" w14:textId="3F9AA165" w:rsidR="005640C9" w:rsidRPr="003F49A1" w:rsidRDefault="003F49A1" w:rsidP="00B269FD">
      <w:pPr>
        <w:spacing w:line="360" w:lineRule="auto"/>
        <w:jc w:val="both"/>
        <w:rPr>
          <w:rFonts w:asciiTheme="majorHAnsi" w:hAnsiTheme="majorHAnsi"/>
          <w:b/>
          <w:sz w:val="28"/>
        </w:rPr>
      </w:pPr>
      <w:r>
        <w:rPr>
          <w:rFonts w:asciiTheme="majorHAnsi" w:hAnsiTheme="majorHAnsi"/>
          <w:b/>
          <w:sz w:val="28"/>
        </w:rPr>
        <w:t>Discusión</w:t>
      </w:r>
    </w:p>
    <w:p w14:paraId="241CA3B5" w14:textId="04858F2A" w:rsidR="000675CD" w:rsidRDefault="000675CD" w:rsidP="000675CD">
      <w:pPr>
        <w:spacing w:line="360" w:lineRule="auto"/>
        <w:jc w:val="both"/>
        <w:rPr>
          <w:rFonts w:ascii="Times New Roman" w:hAnsi="Times New Roman" w:cs="Times New Roman"/>
        </w:rPr>
      </w:pPr>
      <w:r w:rsidRPr="003F49A1">
        <w:rPr>
          <w:rFonts w:ascii="Times New Roman" w:hAnsi="Times New Roman" w:cs="Times New Roman"/>
        </w:rPr>
        <w:t xml:space="preserve">Los indicadores internacionales que evalúan el desarrollo económico se basan en el conocimiento para destacar la competitividad de los países a nivel global. En el caso de México, los resultados indican que el sistema de innovación no es dinámico, debido a la falta de vinculación de las patentes en la industria para su comercialización y uso, además de reflejar que existe baja inversión en ciencia y tecnología, sin embargo se requiere defender la calidad de la educación de México, </w:t>
      </w:r>
      <w:r w:rsidR="00701CAE" w:rsidRPr="003F49A1">
        <w:rPr>
          <w:rFonts w:ascii="Times New Roman" w:hAnsi="Times New Roman" w:cs="Times New Roman"/>
        </w:rPr>
        <w:t xml:space="preserve">así como la implementación de programas que </w:t>
      </w:r>
      <w:r w:rsidR="007900AB" w:rsidRPr="003F49A1">
        <w:rPr>
          <w:rFonts w:ascii="Times New Roman" w:hAnsi="Times New Roman" w:cs="Times New Roman"/>
        </w:rPr>
        <w:t xml:space="preserve">actualmente </w:t>
      </w:r>
      <w:r w:rsidR="00701CAE" w:rsidRPr="003F49A1">
        <w:rPr>
          <w:rFonts w:ascii="Times New Roman" w:hAnsi="Times New Roman" w:cs="Times New Roman"/>
        </w:rPr>
        <w:t>impulsan la investigació</w:t>
      </w:r>
      <w:r w:rsidR="00971CEF" w:rsidRPr="003F49A1">
        <w:rPr>
          <w:rFonts w:ascii="Times New Roman" w:hAnsi="Times New Roman" w:cs="Times New Roman"/>
        </w:rPr>
        <w:t>n y el desarrollo tecnológico</w:t>
      </w:r>
      <w:r w:rsidR="00701CAE" w:rsidRPr="003F49A1">
        <w:rPr>
          <w:rFonts w:ascii="Times New Roman" w:hAnsi="Times New Roman" w:cs="Times New Roman"/>
        </w:rPr>
        <w:t xml:space="preserve">, </w:t>
      </w:r>
      <w:r w:rsidR="007900AB" w:rsidRPr="003F49A1">
        <w:rPr>
          <w:rFonts w:ascii="Times New Roman" w:hAnsi="Times New Roman" w:cs="Times New Roman"/>
        </w:rPr>
        <w:t>ya que al hacer la comparación de</w:t>
      </w:r>
      <w:r w:rsidRPr="003F49A1">
        <w:rPr>
          <w:rFonts w:ascii="Times New Roman" w:hAnsi="Times New Roman" w:cs="Times New Roman"/>
        </w:rPr>
        <w:t xml:space="preserve"> los indicadores se genera  un sesgo</w:t>
      </w:r>
      <w:r w:rsidR="007900AB" w:rsidRPr="003F49A1">
        <w:rPr>
          <w:rFonts w:ascii="Times New Roman" w:hAnsi="Times New Roman" w:cs="Times New Roman"/>
        </w:rPr>
        <w:t>,</w:t>
      </w:r>
      <w:r w:rsidRPr="003F49A1">
        <w:rPr>
          <w:rFonts w:ascii="Times New Roman" w:hAnsi="Times New Roman" w:cs="Times New Roman"/>
        </w:rPr>
        <w:t xml:space="preserve"> debido a </w:t>
      </w:r>
      <w:r w:rsidR="007900AB" w:rsidRPr="003F49A1">
        <w:rPr>
          <w:rFonts w:ascii="Times New Roman" w:hAnsi="Times New Roman" w:cs="Times New Roman"/>
        </w:rPr>
        <w:t xml:space="preserve">que </w:t>
      </w:r>
      <w:r w:rsidRPr="003F49A1">
        <w:rPr>
          <w:rFonts w:ascii="Times New Roman" w:hAnsi="Times New Roman" w:cs="Times New Roman"/>
        </w:rPr>
        <w:t xml:space="preserve">las condiciones de desarrollo de México </w:t>
      </w:r>
      <w:r w:rsidR="007900AB" w:rsidRPr="003F49A1">
        <w:rPr>
          <w:rFonts w:ascii="Times New Roman" w:hAnsi="Times New Roman" w:cs="Times New Roman"/>
        </w:rPr>
        <w:t xml:space="preserve">son diferentes </w:t>
      </w:r>
      <w:r w:rsidRPr="003F49A1">
        <w:rPr>
          <w:rFonts w:ascii="Times New Roman" w:hAnsi="Times New Roman" w:cs="Times New Roman"/>
        </w:rPr>
        <w:t>respecto a la mayoría de los países que son evaluados por los organismos internacionales.</w:t>
      </w:r>
    </w:p>
    <w:p w14:paraId="12D1FBB4" w14:textId="1CB1D9C5" w:rsidR="003F49A1" w:rsidRDefault="003F49A1" w:rsidP="000675CD">
      <w:pPr>
        <w:spacing w:line="360" w:lineRule="auto"/>
        <w:jc w:val="both"/>
        <w:rPr>
          <w:rFonts w:ascii="Times New Roman" w:hAnsi="Times New Roman" w:cs="Times New Roman"/>
        </w:rPr>
      </w:pPr>
    </w:p>
    <w:p w14:paraId="6DFC28F0" w14:textId="77777777" w:rsidR="003F49A1" w:rsidRPr="003F49A1" w:rsidRDefault="003F49A1" w:rsidP="000675CD">
      <w:pPr>
        <w:spacing w:line="360" w:lineRule="auto"/>
        <w:jc w:val="both"/>
        <w:rPr>
          <w:rFonts w:ascii="Times New Roman" w:hAnsi="Times New Roman" w:cs="Times New Roman"/>
        </w:rPr>
      </w:pPr>
    </w:p>
    <w:p w14:paraId="5DF0F14E" w14:textId="77777777" w:rsidR="007D10C0" w:rsidRDefault="007D10C0" w:rsidP="00B269FD">
      <w:pPr>
        <w:spacing w:line="360" w:lineRule="auto"/>
        <w:jc w:val="both"/>
        <w:rPr>
          <w:rFonts w:ascii="Arial" w:hAnsi="Arial" w:cs="Arial"/>
          <w:b/>
          <w:kern w:val="12"/>
        </w:rPr>
      </w:pPr>
    </w:p>
    <w:p w14:paraId="000B1015" w14:textId="1D0D3156" w:rsidR="000675CD" w:rsidRDefault="003F49A1" w:rsidP="00B269FD">
      <w:pPr>
        <w:spacing w:line="360" w:lineRule="auto"/>
        <w:jc w:val="both"/>
        <w:rPr>
          <w:rFonts w:ascii="Arial" w:hAnsi="Arial" w:cs="Arial"/>
          <w:b/>
          <w:kern w:val="12"/>
        </w:rPr>
      </w:pPr>
      <w:r>
        <w:rPr>
          <w:rFonts w:ascii="Arial" w:hAnsi="Arial" w:cs="Arial"/>
          <w:b/>
          <w:kern w:val="12"/>
        </w:rPr>
        <w:lastRenderedPageBreak/>
        <w:t>Conclusión</w:t>
      </w:r>
    </w:p>
    <w:p w14:paraId="329EC481" w14:textId="6E88503F" w:rsidR="000675CD" w:rsidRPr="003F49A1" w:rsidRDefault="000675CD" w:rsidP="000675CD">
      <w:pPr>
        <w:spacing w:line="360" w:lineRule="auto"/>
        <w:jc w:val="both"/>
        <w:rPr>
          <w:rFonts w:ascii="Times New Roman" w:hAnsi="Times New Roman" w:cs="Times New Roman"/>
        </w:rPr>
      </w:pPr>
      <w:r w:rsidRPr="003F49A1">
        <w:rPr>
          <w:rFonts w:ascii="Times New Roman" w:hAnsi="Times New Roman" w:cs="Times New Roman"/>
        </w:rPr>
        <w:t>Como resultado de la investigación, es posible concluir que el sector educativo en México, cuenta con grandes áreas de oportunidad para mejorar, ya que durante muchos años se ha trabajado intensamente para lograr la calidad de la educación, sin embargo aún quedan latentes aspectos que requieren de mayor atención y seguimiento para implementar acciones correctivas así como programas de mejora continua.</w:t>
      </w:r>
      <w:r w:rsidR="00B15EC8" w:rsidRPr="003F49A1">
        <w:rPr>
          <w:rFonts w:ascii="Times New Roman" w:hAnsi="Times New Roman" w:cs="Times New Roman"/>
        </w:rPr>
        <w:t xml:space="preserve"> Además </w:t>
      </w:r>
      <w:r w:rsidR="004B5AE4" w:rsidRPr="003F49A1">
        <w:rPr>
          <w:rFonts w:ascii="Times New Roman" w:hAnsi="Times New Roman" w:cs="Times New Roman"/>
        </w:rPr>
        <w:t xml:space="preserve">es importante dar seguimiento a </w:t>
      </w:r>
      <w:r w:rsidR="00D707C1" w:rsidRPr="003F49A1">
        <w:rPr>
          <w:rFonts w:ascii="Times New Roman" w:hAnsi="Times New Roman" w:cs="Times New Roman"/>
        </w:rPr>
        <w:t>las recomendaciones de los indicadores e</w:t>
      </w:r>
      <w:r w:rsidR="00B15EC8" w:rsidRPr="003F49A1">
        <w:rPr>
          <w:rFonts w:ascii="Times New Roman" w:hAnsi="Times New Roman" w:cs="Times New Roman"/>
        </w:rPr>
        <w:t xml:space="preserve"> instrumentos internacionales que evalúan la competitivida</w:t>
      </w:r>
      <w:r w:rsidR="00142F1A" w:rsidRPr="003F49A1">
        <w:rPr>
          <w:rFonts w:ascii="Times New Roman" w:hAnsi="Times New Roman" w:cs="Times New Roman"/>
        </w:rPr>
        <w:t xml:space="preserve">d de los países a nivel global, ya que en </w:t>
      </w:r>
      <w:r w:rsidR="00B15EC8" w:rsidRPr="003F49A1">
        <w:rPr>
          <w:rFonts w:ascii="Times New Roman" w:hAnsi="Times New Roman" w:cs="Times New Roman"/>
        </w:rPr>
        <w:t>el caso de México, los resultados de la variable sistema de innovación, indican que  no es dinámico, debido a la falta de vinculación de las patentes en la industria para su comercialización y uso</w:t>
      </w:r>
      <w:r w:rsidR="00B15EC8" w:rsidRPr="003F49A1">
        <w:rPr>
          <w:rFonts w:ascii="Times New Roman" w:hAnsi="Times New Roman" w:cs="Times New Roman"/>
          <w:kern w:val="12"/>
        </w:rPr>
        <w:t xml:space="preserve">, </w:t>
      </w:r>
      <w:r w:rsidR="00B15EC8" w:rsidRPr="003F49A1">
        <w:rPr>
          <w:rFonts w:ascii="Times New Roman" w:hAnsi="Times New Roman" w:cs="Times New Roman"/>
        </w:rPr>
        <w:t>además de reflejar que existe baja in</w:t>
      </w:r>
      <w:r w:rsidR="00F87DD4" w:rsidRPr="003F49A1">
        <w:rPr>
          <w:rFonts w:ascii="Times New Roman" w:hAnsi="Times New Roman" w:cs="Times New Roman"/>
        </w:rPr>
        <w:t>versión en ciencia y tecnología, para lo cual se deja abierta una línea de investigación que complemente éste estudio a través del</w:t>
      </w:r>
      <w:r w:rsidRPr="003F49A1">
        <w:rPr>
          <w:rFonts w:ascii="Times New Roman" w:hAnsi="Times New Roman" w:cs="Times New Roman"/>
        </w:rPr>
        <w:t xml:space="preserve"> análisis de las causas y efectos </w:t>
      </w:r>
      <w:r w:rsidR="00F87DD4" w:rsidRPr="003F49A1">
        <w:rPr>
          <w:rFonts w:ascii="Times New Roman" w:hAnsi="Times New Roman" w:cs="Times New Roman"/>
        </w:rPr>
        <w:t>de los programas realizados por las diversas instituciones y organismos que impulsan la investigación y el desarrollo,</w:t>
      </w:r>
      <w:r w:rsidRPr="003F49A1">
        <w:rPr>
          <w:rFonts w:ascii="Times New Roman" w:hAnsi="Times New Roman" w:cs="Times New Roman"/>
        </w:rPr>
        <w:t xml:space="preserve"> para identificar exactamente su</w:t>
      </w:r>
      <w:r w:rsidR="00F87DD4" w:rsidRPr="003F49A1">
        <w:rPr>
          <w:rFonts w:ascii="Times New Roman" w:hAnsi="Times New Roman" w:cs="Times New Roman"/>
        </w:rPr>
        <w:t xml:space="preserve"> impacto e implementar acciones</w:t>
      </w:r>
      <w:r w:rsidRPr="003F49A1">
        <w:rPr>
          <w:rFonts w:ascii="Times New Roman" w:hAnsi="Times New Roman" w:cs="Times New Roman"/>
        </w:rPr>
        <w:t xml:space="preserve"> de mejora únicamente en los rubros que carezcan de eficiencia y eficacia</w:t>
      </w:r>
      <w:r w:rsidR="00142F1A" w:rsidRPr="003F49A1">
        <w:rPr>
          <w:rFonts w:ascii="Times New Roman" w:hAnsi="Times New Roman" w:cs="Times New Roman"/>
        </w:rPr>
        <w:t>.</w:t>
      </w:r>
    </w:p>
    <w:p w14:paraId="554D250A" w14:textId="77777777" w:rsidR="005640C9" w:rsidRDefault="005640C9" w:rsidP="00B269FD">
      <w:pPr>
        <w:spacing w:line="360" w:lineRule="auto"/>
        <w:jc w:val="both"/>
        <w:rPr>
          <w:rFonts w:ascii="Arial" w:hAnsi="Arial" w:cs="Arial"/>
          <w:b/>
          <w:kern w:val="12"/>
        </w:rPr>
      </w:pPr>
    </w:p>
    <w:p w14:paraId="31CCFC5E" w14:textId="77777777" w:rsidR="00F20255" w:rsidRDefault="00F20255" w:rsidP="00B269FD">
      <w:pPr>
        <w:spacing w:line="360" w:lineRule="auto"/>
        <w:jc w:val="both"/>
        <w:rPr>
          <w:rFonts w:ascii="Arial" w:hAnsi="Arial" w:cs="Arial"/>
          <w:b/>
          <w:kern w:val="12"/>
        </w:rPr>
      </w:pPr>
    </w:p>
    <w:p w14:paraId="1FFA5DDF" w14:textId="77777777" w:rsidR="00F20255" w:rsidRDefault="00F20255" w:rsidP="00B269FD">
      <w:pPr>
        <w:spacing w:line="360" w:lineRule="auto"/>
        <w:jc w:val="both"/>
        <w:rPr>
          <w:rFonts w:ascii="Arial" w:hAnsi="Arial" w:cs="Arial"/>
          <w:b/>
          <w:kern w:val="12"/>
        </w:rPr>
      </w:pPr>
    </w:p>
    <w:p w14:paraId="62EFF592" w14:textId="197996B2" w:rsidR="00F20255" w:rsidRDefault="00F20255" w:rsidP="00B269FD">
      <w:pPr>
        <w:spacing w:line="360" w:lineRule="auto"/>
        <w:jc w:val="both"/>
        <w:rPr>
          <w:rFonts w:ascii="Arial" w:hAnsi="Arial" w:cs="Arial"/>
          <w:b/>
          <w:kern w:val="12"/>
        </w:rPr>
      </w:pPr>
    </w:p>
    <w:p w14:paraId="6896F657" w14:textId="027552FB" w:rsidR="003F49A1" w:rsidRDefault="003F49A1" w:rsidP="00B269FD">
      <w:pPr>
        <w:spacing w:line="360" w:lineRule="auto"/>
        <w:jc w:val="both"/>
        <w:rPr>
          <w:rFonts w:ascii="Arial" w:hAnsi="Arial" w:cs="Arial"/>
          <w:b/>
          <w:kern w:val="12"/>
        </w:rPr>
      </w:pPr>
    </w:p>
    <w:p w14:paraId="69FD25D2" w14:textId="2FA0E3CD" w:rsidR="003F49A1" w:rsidRDefault="003F49A1" w:rsidP="00B269FD">
      <w:pPr>
        <w:spacing w:line="360" w:lineRule="auto"/>
        <w:jc w:val="both"/>
        <w:rPr>
          <w:rFonts w:ascii="Arial" w:hAnsi="Arial" w:cs="Arial"/>
          <w:b/>
          <w:kern w:val="12"/>
        </w:rPr>
      </w:pPr>
    </w:p>
    <w:p w14:paraId="4A4FF947" w14:textId="791AEF68" w:rsidR="003F49A1" w:rsidRDefault="003F49A1" w:rsidP="00B269FD">
      <w:pPr>
        <w:spacing w:line="360" w:lineRule="auto"/>
        <w:jc w:val="both"/>
        <w:rPr>
          <w:rFonts w:ascii="Arial" w:hAnsi="Arial" w:cs="Arial"/>
          <w:b/>
          <w:kern w:val="12"/>
        </w:rPr>
      </w:pPr>
    </w:p>
    <w:p w14:paraId="195F6816" w14:textId="7C28DED8" w:rsidR="003F49A1" w:rsidRDefault="003F49A1" w:rsidP="00B269FD">
      <w:pPr>
        <w:spacing w:line="360" w:lineRule="auto"/>
        <w:jc w:val="both"/>
        <w:rPr>
          <w:rFonts w:ascii="Arial" w:hAnsi="Arial" w:cs="Arial"/>
          <w:b/>
          <w:kern w:val="12"/>
        </w:rPr>
      </w:pPr>
    </w:p>
    <w:p w14:paraId="46F9EFEA" w14:textId="7D75D020" w:rsidR="003F49A1" w:rsidRDefault="003F49A1" w:rsidP="00B269FD">
      <w:pPr>
        <w:spacing w:line="360" w:lineRule="auto"/>
        <w:jc w:val="both"/>
        <w:rPr>
          <w:rFonts w:ascii="Arial" w:hAnsi="Arial" w:cs="Arial"/>
          <w:b/>
          <w:kern w:val="12"/>
        </w:rPr>
      </w:pPr>
    </w:p>
    <w:p w14:paraId="2BBE5FF3" w14:textId="4173BEBA" w:rsidR="003F49A1" w:rsidRDefault="003F49A1" w:rsidP="00B269FD">
      <w:pPr>
        <w:spacing w:line="360" w:lineRule="auto"/>
        <w:jc w:val="both"/>
        <w:rPr>
          <w:rFonts w:ascii="Arial" w:hAnsi="Arial" w:cs="Arial"/>
          <w:b/>
          <w:kern w:val="12"/>
        </w:rPr>
      </w:pPr>
    </w:p>
    <w:p w14:paraId="1068AA0F" w14:textId="77777777" w:rsidR="003F49A1" w:rsidRDefault="003F49A1" w:rsidP="00B269FD">
      <w:pPr>
        <w:spacing w:line="360" w:lineRule="auto"/>
        <w:jc w:val="both"/>
        <w:rPr>
          <w:rFonts w:ascii="Arial" w:hAnsi="Arial" w:cs="Arial"/>
          <w:b/>
          <w:kern w:val="12"/>
        </w:rPr>
      </w:pPr>
    </w:p>
    <w:p w14:paraId="2AACDFC5" w14:textId="77777777" w:rsidR="00F20255" w:rsidRDefault="00F20255" w:rsidP="00B269FD">
      <w:pPr>
        <w:spacing w:line="360" w:lineRule="auto"/>
        <w:jc w:val="both"/>
        <w:rPr>
          <w:rFonts w:ascii="Arial" w:hAnsi="Arial" w:cs="Arial"/>
          <w:b/>
          <w:kern w:val="12"/>
        </w:rPr>
      </w:pPr>
    </w:p>
    <w:p w14:paraId="45115A77" w14:textId="77777777" w:rsidR="00F20255" w:rsidRDefault="00F20255" w:rsidP="00B269FD">
      <w:pPr>
        <w:spacing w:line="360" w:lineRule="auto"/>
        <w:jc w:val="both"/>
        <w:rPr>
          <w:rFonts w:ascii="Arial" w:hAnsi="Arial" w:cs="Arial"/>
          <w:b/>
          <w:kern w:val="12"/>
        </w:rPr>
      </w:pPr>
    </w:p>
    <w:p w14:paraId="45C84F29" w14:textId="77777777" w:rsidR="00F20255" w:rsidRDefault="00F20255" w:rsidP="00B269FD">
      <w:pPr>
        <w:spacing w:line="360" w:lineRule="auto"/>
        <w:jc w:val="both"/>
        <w:rPr>
          <w:rFonts w:ascii="Arial" w:hAnsi="Arial" w:cs="Arial"/>
          <w:b/>
          <w:kern w:val="12"/>
        </w:rPr>
      </w:pPr>
    </w:p>
    <w:p w14:paraId="5BD1CE22" w14:textId="6CE6B5FB" w:rsidR="00F0119F" w:rsidRPr="00BD39B0" w:rsidRDefault="00BD39B0" w:rsidP="00B269FD">
      <w:pPr>
        <w:spacing w:line="360" w:lineRule="auto"/>
        <w:jc w:val="both"/>
        <w:rPr>
          <w:rFonts w:ascii="Arial" w:hAnsi="Arial" w:cs="Arial"/>
          <w:b/>
          <w:kern w:val="12"/>
        </w:rPr>
      </w:pPr>
      <w:r w:rsidRPr="00BD39B0">
        <w:rPr>
          <w:rFonts w:ascii="Arial" w:hAnsi="Arial" w:cs="Arial"/>
          <w:b/>
          <w:kern w:val="12"/>
        </w:rPr>
        <w:lastRenderedPageBreak/>
        <w:t>Bibliografía.</w:t>
      </w:r>
    </w:p>
    <w:p w14:paraId="27972803" w14:textId="77777777" w:rsidR="00BD39B0" w:rsidRDefault="00BD39B0" w:rsidP="00B269FD">
      <w:pPr>
        <w:spacing w:line="360" w:lineRule="auto"/>
        <w:jc w:val="both"/>
        <w:rPr>
          <w:rFonts w:ascii="Arial" w:hAnsi="Arial" w:cs="Arial"/>
          <w:kern w:val="12"/>
        </w:rPr>
      </w:pPr>
    </w:p>
    <w:p w14:paraId="59C15FB0" w14:textId="77777777" w:rsidR="007E199E" w:rsidRPr="003F49A1" w:rsidRDefault="007E199E" w:rsidP="007E199E">
      <w:pPr>
        <w:tabs>
          <w:tab w:val="left" w:pos="6130"/>
        </w:tabs>
        <w:spacing w:line="360" w:lineRule="auto"/>
        <w:ind w:left="567" w:hanging="567"/>
        <w:jc w:val="both"/>
        <w:rPr>
          <w:rStyle w:val="Hipervnculo"/>
          <w:rFonts w:ascii="Times New Roman" w:hAnsi="Times New Roman" w:cs="Times New Roman"/>
        </w:rPr>
      </w:pPr>
      <w:r w:rsidRPr="003F49A1">
        <w:rPr>
          <w:rFonts w:ascii="Times New Roman" w:hAnsi="Times New Roman" w:cs="Times New Roman"/>
        </w:rPr>
        <w:t>Aboites, J, Soria M. (2008). La economía del conocimiento y propiedad intelectual. Lecciones para la economía mexicana.</w:t>
      </w:r>
      <w:r w:rsidRPr="003F49A1">
        <w:rPr>
          <w:rFonts w:ascii="Times New Roman" w:hAnsi="Times New Roman" w:cs="Times New Roman"/>
          <w:b/>
        </w:rPr>
        <w:t xml:space="preserve"> </w:t>
      </w:r>
      <w:r w:rsidRPr="003F49A1">
        <w:rPr>
          <w:rFonts w:ascii="Times New Roman" w:hAnsi="Times New Roman" w:cs="Times New Roman"/>
        </w:rPr>
        <w:t xml:space="preserve">México. Ed. Universidad Autónoma Metropolitana &amp; Siglo Veintiuno. Recuperado de:  </w:t>
      </w:r>
      <w:hyperlink r:id="rId10" w:history="1">
        <w:r w:rsidRPr="003F49A1">
          <w:rPr>
            <w:rStyle w:val="Hipervnculo"/>
            <w:rFonts w:ascii="Times New Roman" w:hAnsi="Times New Roman" w:cs="Times New Roman"/>
          </w:rPr>
          <w:t>https://books.google.com.mx/</w:t>
        </w:r>
      </w:hyperlink>
    </w:p>
    <w:p w14:paraId="3091C01F" w14:textId="77777777" w:rsidR="00F20255" w:rsidRPr="003F49A1" w:rsidRDefault="00F20255" w:rsidP="007E199E">
      <w:pPr>
        <w:tabs>
          <w:tab w:val="left" w:pos="6130"/>
        </w:tabs>
        <w:spacing w:line="360" w:lineRule="auto"/>
        <w:ind w:left="567" w:hanging="567"/>
        <w:jc w:val="both"/>
        <w:rPr>
          <w:rStyle w:val="Hipervnculo"/>
          <w:rFonts w:ascii="Times New Roman" w:hAnsi="Times New Roman" w:cs="Times New Roman"/>
        </w:rPr>
      </w:pPr>
    </w:p>
    <w:p w14:paraId="62843223" w14:textId="5C83B470" w:rsidR="00F20255" w:rsidRPr="003F49A1" w:rsidRDefault="00F20255" w:rsidP="007E199E">
      <w:pPr>
        <w:tabs>
          <w:tab w:val="left" w:pos="6130"/>
        </w:tabs>
        <w:spacing w:line="360" w:lineRule="auto"/>
        <w:ind w:left="567" w:hanging="567"/>
        <w:jc w:val="both"/>
        <w:rPr>
          <w:rFonts w:ascii="Times New Roman" w:hAnsi="Times New Roman" w:cs="Times New Roman"/>
        </w:rPr>
      </w:pPr>
      <w:r w:rsidRPr="003F49A1">
        <w:rPr>
          <w:rFonts w:ascii="Times New Roman" w:hAnsi="Times New Roman" w:cs="Times New Roman"/>
        </w:rPr>
        <w:t>BM. (2012). Índice de la economía del conocimiento.</w:t>
      </w:r>
    </w:p>
    <w:p w14:paraId="21365CAD" w14:textId="77777777" w:rsidR="007E199E" w:rsidRPr="003F49A1" w:rsidRDefault="007E199E" w:rsidP="007E199E">
      <w:pPr>
        <w:tabs>
          <w:tab w:val="left" w:pos="6130"/>
        </w:tabs>
        <w:spacing w:line="360" w:lineRule="auto"/>
        <w:ind w:left="567" w:hanging="567"/>
        <w:jc w:val="both"/>
        <w:rPr>
          <w:rFonts w:ascii="Times New Roman" w:hAnsi="Times New Roman" w:cs="Times New Roman"/>
        </w:rPr>
      </w:pPr>
      <w:bookmarkStart w:id="0" w:name="_GoBack"/>
      <w:bookmarkEnd w:id="0"/>
    </w:p>
    <w:p w14:paraId="0F084BFB" w14:textId="77777777" w:rsidR="007E199E" w:rsidRPr="003F49A1" w:rsidRDefault="007E199E" w:rsidP="007E199E">
      <w:pPr>
        <w:tabs>
          <w:tab w:val="left" w:pos="6130"/>
        </w:tabs>
        <w:spacing w:line="360" w:lineRule="auto"/>
        <w:ind w:left="567" w:hanging="567"/>
        <w:jc w:val="both"/>
        <w:rPr>
          <w:rFonts w:ascii="Times New Roman" w:hAnsi="Times New Roman" w:cs="Times New Roman"/>
        </w:rPr>
      </w:pPr>
      <w:r w:rsidRPr="003F49A1">
        <w:rPr>
          <w:rFonts w:ascii="Times New Roman" w:hAnsi="Times New Roman" w:cs="Times New Roman"/>
        </w:rPr>
        <w:t xml:space="preserve">FEM. (2016-2017). Índice de competitividad global. Vía Foro Económico Mundial. Recuperado de </w:t>
      </w:r>
      <w:hyperlink r:id="rId11" w:history="1">
        <w:r w:rsidRPr="003F49A1">
          <w:rPr>
            <w:rStyle w:val="Hipervnculo"/>
            <w:rFonts w:ascii="Times New Roman" w:hAnsi="Times New Roman" w:cs="Times New Roman"/>
          </w:rPr>
          <w:t>http://codesin.mx/news/indice-competitividad-global-2016- 2017-via-foro-economico-mundial/</w:t>
        </w:r>
      </w:hyperlink>
    </w:p>
    <w:p w14:paraId="3158ACAC" w14:textId="77777777" w:rsidR="007E199E" w:rsidRPr="003F49A1" w:rsidRDefault="007E199E" w:rsidP="007E199E">
      <w:pPr>
        <w:tabs>
          <w:tab w:val="left" w:pos="6130"/>
        </w:tabs>
        <w:spacing w:line="360" w:lineRule="auto"/>
        <w:jc w:val="both"/>
        <w:rPr>
          <w:rFonts w:ascii="Times New Roman" w:hAnsi="Times New Roman" w:cs="Times New Roman"/>
        </w:rPr>
      </w:pPr>
    </w:p>
    <w:p w14:paraId="1D386917" w14:textId="77777777" w:rsidR="00EB2BEA" w:rsidRPr="003F49A1" w:rsidRDefault="00EB2BEA" w:rsidP="00EB2BEA">
      <w:pPr>
        <w:tabs>
          <w:tab w:val="left" w:pos="6130"/>
        </w:tabs>
        <w:spacing w:line="360" w:lineRule="auto"/>
        <w:ind w:left="567" w:hanging="567"/>
        <w:jc w:val="both"/>
        <w:rPr>
          <w:rFonts w:ascii="Times New Roman" w:hAnsi="Times New Roman" w:cs="Times New Roman"/>
        </w:rPr>
      </w:pPr>
      <w:r w:rsidRPr="003F49A1">
        <w:rPr>
          <w:rFonts w:ascii="Times New Roman" w:hAnsi="Times New Roman" w:cs="Times New Roman"/>
          <w:color w:val="10100F"/>
          <w:lang w:val="es-ES"/>
        </w:rPr>
        <w:t>Igarza, R. (2008). Nuevos medios. Estrategias de convergencia. Argentina: La crujía. Pp. 11-32.</w:t>
      </w:r>
    </w:p>
    <w:p w14:paraId="3994D191" w14:textId="77777777" w:rsidR="00EB2BEA" w:rsidRPr="003F49A1" w:rsidRDefault="00EB2BEA" w:rsidP="00EB2BEA">
      <w:pPr>
        <w:tabs>
          <w:tab w:val="left" w:pos="6130"/>
        </w:tabs>
        <w:spacing w:line="360" w:lineRule="auto"/>
        <w:jc w:val="both"/>
        <w:rPr>
          <w:rFonts w:ascii="Times New Roman" w:hAnsi="Times New Roman" w:cs="Times New Roman"/>
        </w:rPr>
      </w:pPr>
    </w:p>
    <w:p w14:paraId="1CA998D4" w14:textId="77777777" w:rsidR="007E199E" w:rsidRPr="003F49A1" w:rsidRDefault="007E199E" w:rsidP="007E199E">
      <w:pPr>
        <w:tabs>
          <w:tab w:val="left" w:pos="6130"/>
        </w:tabs>
        <w:spacing w:line="360" w:lineRule="auto"/>
        <w:ind w:left="567" w:hanging="567"/>
        <w:jc w:val="both"/>
        <w:rPr>
          <w:rFonts w:ascii="Times New Roman" w:hAnsi="Times New Roman" w:cs="Times New Roman"/>
        </w:rPr>
      </w:pPr>
      <w:r w:rsidRPr="003F49A1">
        <w:rPr>
          <w:rFonts w:ascii="Times New Roman" w:hAnsi="Times New Roman" w:cs="Times New Roman"/>
        </w:rPr>
        <w:t xml:space="preserve">Katz, R. (2015) El ecosistema y la economía digital de América Latina. España. Ed. Ariel, S.A,. Recuperado de: </w:t>
      </w:r>
      <w:hyperlink r:id="rId12" w:history="1">
        <w:r w:rsidRPr="003F49A1">
          <w:rPr>
            <w:rStyle w:val="Hipervnculo"/>
            <w:rFonts w:ascii="Times New Roman" w:hAnsi="Times New Roman" w:cs="Times New Roman"/>
          </w:rPr>
          <w:t>https://books.google.com.mx</w:t>
        </w:r>
      </w:hyperlink>
    </w:p>
    <w:p w14:paraId="62DEE950" w14:textId="77777777" w:rsidR="007E199E" w:rsidRPr="003F49A1" w:rsidRDefault="007E199E" w:rsidP="007E199E">
      <w:pPr>
        <w:tabs>
          <w:tab w:val="left" w:pos="6130"/>
        </w:tabs>
        <w:spacing w:line="360" w:lineRule="auto"/>
        <w:ind w:left="567" w:hanging="567"/>
        <w:jc w:val="both"/>
        <w:rPr>
          <w:rFonts w:ascii="Times New Roman" w:hAnsi="Times New Roman" w:cs="Times New Roman"/>
        </w:rPr>
      </w:pPr>
    </w:p>
    <w:p w14:paraId="257462EF" w14:textId="77777777" w:rsidR="007E199E" w:rsidRPr="003F49A1" w:rsidRDefault="007E199E" w:rsidP="007E199E">
      <w:pPr>
        <w:tabs>
          <w:tab w:val="left" w:pos="6130"/>
        </w:tabs>
        <w:spacing w:line="360" w:lineRule="auto"/>
        <w:ind w:left="567" w:hanging="567"/>
        <w:jc w:val="both"/>
        <w:rPr>
          <w:rFonts w:ascii="Times New Roman" w:hAnsi="Times New Roman" w:cs="Times New Roman"/>
        </w:rPr>
      </w:pPr>
      <w:r w:rsidRPr="003F49A1">
        <w:rPr>
          <w:rFonts w:ascii="Times New Roman" w:hAnsi="Times New Roman" w:cs="Times New Roman"/>
          <w:color w:val="000000"/>
          <w:lang w:val="es-ES"/>
        </w:rPr>
        <w:t xml:space="preserve">OCDE (2015). </w:t>
      </w:r>
      <w:r w:rsidRPr="003F49A1">
        <w:rPr>
          <w:rFonts w:ascii="Times New Roman" w:hAnsi="Times New Roman" w:cs="Times New Roman"/>
          <w:i/>
          <w:iCs/>
          <w:color w:val="000000"/>
          <w:lang w:val="es-ES"/>
        </w:rPr>
        <w:t>Programa para la evaluación internacional de alumnos PISA-2015-Resultados.</w:t>
      </w:r>
    </w:p>
    <w:p w14:paraId="76B56CDF" w14:textId="77777777" w:rsidR="007E199E" w:rsidRPr="003F49A1" w:rsidRDefault="007E199E" w:rsidP="007E199E">
      <w:pPr>
        <w:tabs>
          <w:tab w:val="left" w:pos="6130"/>
        </w:tabs>
        <w:spacing w:line="360" w:lineRule="auto"/>
        <w:jc w:val="both"/>
        <w:rPr>
          <w:rFonts w:ascii="Times New Roman" w:hAnsi="Times New Roman" w:cs="Times New Roman"/>
        </w:rPr>
      </w:pPr>
    </w:p>
    <w:p w14:paraId="2758049B" w14:textId="77777777" w:rsidR="007E199E" w:rsidRPr="003F49A1" w:rsidRDefault="007E199E" w:rsidP="007E199E">
      <w:pPr>
        <w:tabs>
          <w:tab w:val="left" w:pos="6130"/>
        </w:tabs>
        <w:spacing w:line="360" w:lineRule="auto"/>
        <w:ind w:left="567" w:hanging="567"/>
        <w:jc w:val="both"/>
        <w:rPr>
          <w:rFonts w:ascii="Times New Roman" w:hAnsi="Times New Roman" w:cs="Times New Roman"/>
        </w:rPr>
      </w:pPr>
      <w:r w:rsidRPr="003F49A1">
        <w:rPr>
          <w:rFonts w:ascii="Times New Roman" w:hAnsi="Times New Roman" w:cs="Times New Roman"/>
          <w:color w:val="000000"/>
          <w:lang w:val="es-ES"/>
        </w:rPr>
        <w:t xml:space="preserve">OMPI. (2003) </w:t>
      </w:r>
      <w:r w:rsidRPr="003F49A1">
        <w:rPr>
          <w:rFonts w:ascii="Times New Roman" w:hAnsi="Times New Roman" w:cs="Times New Roman"/>
          <w:i/>
          <w:iCs/>
          <w:color w:val="000000"/>
          <w:lang w:val="es-ES"/>
        </w:rPr>
        <w:t>La propiedad intelectual al servicio del crecimiento económico</w:t>
      </w:r>
      <w:r w:rsidRPr="003F49A1">
        <w:rPr>
          <w:rFonts w:ascii="Times New Roman" w:hAnsi="Times New Roman" w:cs="Times New Roman"/>
          <w:color w:val="000000"/>
          <w:lang w:val="es-ES"/>
        </w:rPr>
        <w:t>, Ginebra.</w:t>
      </w:r>
      <w:r w:rsidRPr="003F49A1">
        <w:rPr>
          <w:rFonts w:ascii="Times New Roman" w:hAnsi="Times New Roman" w:cs="Times New Roman"/>
        </w:rPr>
        <w:t xml:space="preserve"> </w:t>
      </w:r>
    </w:p>
    <w:p w14:paraId="16D5DC62" w14:textId="77777777" w:rsidR="007E199E" w:rsidRPr="003F49A1" w:rsidRDefault="007E199E" w:rsidP="00EB2BEA">
      <w:pPr>
        <w:tabs>
          <w:tab w:val="left" w:pos="6130"/>
        </w:tabs>
        <w:spacing w:line="360" w:lineRule="auto"/>
        <w:jc w:val="both"/>
        <w:rPr>
          <w:rFonts w:ascii="Times New Roman" w:hAnsi="Times New Roman" w:cs="Times New Roman"/>
        </w:rPr>
      </w:pPr>
    </w:p>
    <w:p w14:paraId="6BBF42F5" w14:textId="77777777" w:rsidR="007E199E" w:rsidRPr="003F49A1" w:rsidRDefault="007E199E" w:rsidP="007E199E">
      <w:pPr>
        <w:tabs>
          <w:tab w:val="left" w:pos="6130"/>
        </w:tabs>
        <w:spacing w:line="360" w:lineRule="auto"/>
        <w:ind w:left="567" w:hanging="567"/>
        <w:jc w:val="both"/>
        <w:rPr>
          <w:rFonts w:ascii="Times New Roman" w:hAnsi="Times New Roman" w:cs="Times New Roman"/>
        </w:rPr>
      </w:pPr>
      <w:r w:rsidRPr="003F49A1">
        <w:rPr>
          <w:rFonts w:ascii="Times New Roman" w:hAnsi="Times New Roman" w:cs="Times New Roman"/>
        </w:rPr>
        <w:t xml:space="preserve">Reig, et al. (2017). La competitividad de las regiones españolas ante la economía del conocimiento. Ed. Fundación BBVA. Recuperado de: </w:t>
      </w:r>
      <w:hyperlink r:id="rId13" w:history="1">
        <w:r w:rsidRPr="003F49A1">
          <w:rPr>
            <w:rStyle w:val="Hipervnculo"/>
            <w:rFonts w:ascii="Times New Roman" w:hAnsi="Times New Roman" w:cs="Times New Roman"/>
          </w:rPr>
          <w:t>https://books.google.com.mx</w:t>
        </w:r>
      </w:hyperlink>
    </w:p>
    <w:p w14:paraId="066A2273" w14:textId="77777777" w:rsidR="007E199E" w:rsidRPr="003F49A1" w:rsidRDefault="007E199E" w:rsidP="007E199E">
      <w:pPr>
        <w:tabs>
          <w:tab w:val="left" w:pos="6130"/>
        </w:tabs>
        <w:spacing w:line="360" w:lineRule="auto"/>
        <w:ind w:left="567" w:hanging="567"/>
        <w:jc w:val="both"/>
        <w:rPr>
          <w:rFonts w:ascii="Times New Roman" w:hAnsi="Times New Roman" w:cs="Times New Roman"/>
        </w:rPr>
      </w:pPr>
    </w:p>
    <w:p w14:paraId="65742FBF" w14:textId="77777777" w:rsidR="007E199E" w:rsidRPr="003F49A1" w:rsidRDefault="007E199E" w:rsidP="007E199E">
      <w:pPr>
        <w:tabs>
          <w:tab w:val="left" w:pos="6130"/>
        </w:tabs>
        <w:spacing w:line="360" w:lineRule="auto"/>
        <w:ind w:left="567" w:hanging="567"/>
        <w:jc w:val="both"/>
        <w:rPr>
          <w:rFonts w:ascii="Times New Roman" w:hAnsi="Times New Roman" w:cs="Times New Roman"/>
        </w:rPr>
      </w:pPr>
      <w:r w:rsidRPr="003F49A1">
        <w:rPr>
          <w:rFonts w:ascii="Times New Roman" w:hAnsi="Times New Roman" w:cs="Times New Roman"/>
        </w:rPr>
        <w:t xml:space="preserve">Ricyt. (2016). El estado de la ciencia. Principales indicadores de ciencia y  tecnología Iberoamericanos/ Interamericanos. Recuperado de </w:t>
      </w:r>
      <w:hyperlink r:id="rId14" w:history="1">
        <w:r w:rsidRPr="003F49A1">
          <w:rPr>
            <w:rStyle w:val="Hipervnculo"/>
            <w:rFonts w:ascii="Times New Roman" w:hAnsi="Times New Roman" w:cs="Times New Roman"/>
          </w:rPr>
          <w:t>http://www.ricyt.org/publicaciones</w:t>
        </w:r>
      </w:hyperlink>
      <w:r w:rsidRPr="003F49A1">
        <w:rPr>
          <w:rFonts w:ascii="Times New Roman" w:hAnsi="Times New Roman" w:cs="Times New Roman"/>
        </w:rPr>
        <w:t xml:space="preserve">. </w:t>
      </w:r>
    </w:p>
    <w:p w14:paraId="4E7123B8" w14:textId="77777777" w:rsidR="007E199E" w:rsidRPr="003F49A1" w:rsidRDefault="007E199E" w:rsidP="007E199E">
      <w:pPr>
        <w:tabs>
          <w:tab w:val="left" w:pos="6130"/>
        </w:tabs>
        <w:spacing w:line="360" w:lineRule="auto"/>
        <w:jc w:val="both"/>
        <w:rPr>
          <w:rFonts w:ascii="Times New Roman" w:hAnsi="Times New Roman" w:cs="Times New Roman"/>
        </w:rPr>
      </w:pPr>
    </w:p>
    <w:p w14:paraId="37FF9214" w14:textId="674DE1F5" w:rsidR="00EB2BEA" w:rsidRDefault="00816F44" w:rsidP="00EB2BEA">
      <w:pPr>
        <w:tabs>
          <w:tab w:val="left" w:pos="6130"/>
        </w:tabs>
        <w:spacing w:line="360" w:lineRule="auto"/>
        <w:ind w:left="567" w:hanging="567"/>
        <w:jc w:val="both"/>
        <w:rPr>
          <w:rFonts w:ascii="Arial" w:hAnsi="Arial" w:cs="Arial"/>
        </w:rPr>
      </w:pPr>
      <w:r w:rsidRPr="003F49A1">
        <w:rPr>
          <w:rFonts w:ascii="Times New Roman" w:hAnsi="Times New Roman" w:cs="Times New Roman"/>
        </w:rPr>
        <w:lastRenderedPageBreak/>
        <w:t>Ruíz, M, Díaz, Font, E, &amp; Laz</w:t>
      </w:r>
      <w:r w:rsidR="007E199E" w:rsidRPr="003F49A1">
        <w:rPr>
          <w:rFonts w:ascii="Times New Roman" w:hAnsi="Times New Roman" w:cs="Times New Roman"/>
        </w:rPr>
        <w:t xml:space="preserve">cano, C. (2015). El impacto de los intangibles en la  economía del conocimiento.  Núm. 2, vol. 55. </w:t>
      </w:r>
      <w:r w:rsidR="007E199E" w:rsidRPr="003F49A1">
        <w:rPr>
          <w:rFonts w:ascii="Times New Roman" w:hAnsi="Times New Roman" w:cs="Times New Roman"/>
          <w:i/>
        </w:rPr>
        <w:t>Revista electrónica Economía y</w:t>
      </w:r>
      <w:r w:rsidR="007E199E" w:rsidRPr="003F49A1">
        <w:rPr>
          <w:rFonts w:ascii="Times New Roman" w:hAnsi="Times New Roman" w:cs="Times New Roman"/>
        </w:rPr>
        <w:t xml:space="preserve"> </w:t>
      </w:r>
      <w:r w:rsidR="007E199E" w:rsidRPr="003F49A1">
        <w:rPr>
          <w:rFonts w:ascii="Times New Roman" w:hAnsi="Times New Roman" w:cs="Times New Roman"/>
          <w:i/>
        </w:rPr>
        <w:t>Desarrollo.</w:t>
      </w:r>
      <w:r w:rsidR="007E199E" w:rsidRPr="003F49A1">
        <w:rPr>
          <w:rFonts w:ascii="Times New Roman" w:hAnsi="Times New Roman" w:cs="Times New Roman"/>
        </w:rPr>
        <w:t xml:space="preserve"> Recuperado de </w:t>
      </w:r>
      <w:hyperlink r:id="rId15" w:history="1">
        <w:r w:rsidR="007E199E" w:rsidRPr="003F49A1">
          <w:rPr>
            <w:rStyle w:val="Hipervnculo"/>
            <w:rFonts w:ascii="Times New Roman" w:hAnsi="Times New Roman" w:cs="Times New Roman"/>
          </w:rPr>
          <w:t>http://scielo.sld.cu/scielo.php?script=sci_arttext&amp;pid=S0252-85842015000300009</w:t>
        </w:r>
      </w:hyperlink>
      <w:r w:rsidR="007E199E" w:rsidRPr="003F49A1">
        <w:rPr>
          <w:rFonts w:ascii="Times New Roman" w:hAnsi="Times New Roman" w:cs="Times New Roman"/>
        </w:rPr>
        <w:t>.</w:t>
      </w:r>
      <w:r w:rsidR="007E199E">
        <w:rPr>
          <w:rFonts w:ascii="Arial" w:hAnsi="Arial" w:cs="Arial"/>
        </w:rPr>
        <w:t xml:space="preserve"> </w:t>
      </w:r>
    </w:p>
    <w:p w14:paraId="5E1D78BF" w14:textId="77777777" w:rsidR="00EB2BEA" w:rsidRDefault="00EB2BEA" w:rsidP="00EB2BEA">
      <w:pPr>
        <w:tabs>
          <w:tab w:val="left" w:pos="6130"/>
        </w:tabs>
        <w:spacing w:line="360" w:lineRule="auto"/>
        <w:ind w:left="567" w:hanging="567"/>
        <w:jc w:val="both"/>
        <w:rPr>
          <w:rFonts w:ascii="Arial" w:hAnsi="Arial" w:cs="Arial"/>
        </w:rPr>
      </w:pPr>
    </w:p>
    <w:p w14:paraId="4928D9CF" w14:textId="77777777" w:rsidR="007E199E" w:rsidRDefault="007E199E" w:rsidP="007E199E">
      <w:pPr>
        <w:tabs>
          <w:tab w:val="left" w:pos="6130"/>
        </w:tabs>
        <w:spacing w:line="360" w:lineRule="auto"/>
        <w:ind w:left="567" w:hanging="567"/>
        <w:jc w:val="both"/>
        <w:rPr>
          <w:rFonts w:ascii="Arial" w:hAnsi="Arial" w:cs="Arial"/>
        </w:rPr>
      </w:pPr>
    </w:p>
    <w:p w14:paraId="7EDB243B" w14:textId="77777777" w:rsidR="007E199E" w:rsidRPr="006A2060" w:rsidRDefault="007E199E" w:rsidP="007E199E">
      <w:pPr>
        <w:tabs>
          <w:tab w:val="left" w:pos="2410"/>
        </w:tabs>
        <w:spacing w:line="360" w:lineRule="auto"/>
        <w:jc w:val="both"/>
        <w:rPr>
          <w:rFonts w:ascii="Arial" w:hAnsi="Arial"/>
        </w:rPr>
      </w:pPr>
    </w:p>
    <w:p w14:paraId="3809E44B" w14:textId="77777777" w:rsidR="007E199E" w:rsidRDefault="007E199E" w:rsidP="007E199E">
      <w:pPr>
        <w:tabs>
          <w:tab w:val="left" w:pos="6130"/>
        </w:tabs>
        <w:spacing w:line="360" w:lineRule="auto"/>
        <w:jc w:val="both"/>
        <w:rPr>
          <w:rFonts w:ascii="Arial" w:hAnsi="Arial"/>
        </w:rPr>
      </w:pPr>
    </w:p>
    <w:p w14:paraId="6E87EAA2" w14:textId="77777777" w:rsidR="007E199E" w:rsidRDefault="007E199E" w:rsidP="007E199E">
      <w:pPr>
        <w:tabs>
          <w:tab w:val="left" w:pos="6130"/>
        </w:tabs>
        <w:spacing w:line="360" w:lineRule="auto"/>
        <w:jc w:val="both"/>
        <w:rPr>
          <w:rFonts w:ascii="Arial" w:hAnsi="Arial"/>
        </w:rPr>
      </w:pPr>
    </w:p>
    <w:p w14:paraId="6F413D70" w14:textId="77777777" w:rsidR="007E199E" w:rsidRDefault="007E199E" w:rsidP="007E199E">
      <w:pPr>
        <w:jc w:val="center"/>
        <w:rPr>
          <w:rFonts w:ascii="Arial" w:hAnsi="Arial"/>
        </w:rPr>
      </w:pPr>
    </w:p>
    <w:p w14:paraId="7BBE975A" w14:textId="77777777" w:rsidR="007E199E" w:rsidRDefault="007E199E" w:rsidP="00B269FD">
      <w:pPr>
        <w:spacing w:line="360" w:lineRule="auto"/>
        <w:jc w:val="both"/>
        <w:rPr>
          <w:rFonts w:ascii="Arial" w:hAnsi="Arial" w:cs="Arial"/>
          <w:kern w:val="12"/>
        </w:rPr>
      </w:pPr>
    </w:p>
    <w:sectPr w:rsidR="007E199E" w:rsidSect="003F49A1">
      <w:headerReference w:type="default" r:id="rId16"/>
      <w:footerReference w:type="even" r:id="rId17"/>
      <w:footerReference w:type="default" r:id="rId18"/>
      <w:pgSz w:w="12240" w:h="15840"/>
      <w:pgMar w:top="1843" w:right="1701"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074FD" w14:textId="77777777" w:rsidR="005C2C95" w:rsidRDefault="005C2C95" w:rsidP="002436B8">
      <w:r>
        <w:separator/>
      </w:r>
    </w:p>
  </w:endnote>
  <w:endnote w:type="continuationSeparator" w:id="0">
    <w:p w14:paraId="772DC08D" w14:textId="77777777" w:rsidR="005C2C95" w:rsidRDefault="005C2C95" w:rsidP="002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5B3D" w14:textId="77777777" w:rsidR="00F63331" w:rsidRDefault="00F63331" w:rsidP="00DE5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70996B" w14:textId="77777777" w:rsidR="00F63331" w:rsidRDefault="00F63331" w:rsidP="006E055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636186"/>
      <w:docPartObj>
        <w:docPartGallery w:val="Page Numbers (Bottom of Page)"/>
        <w:docPartUnique/>
      </w:docPartObj>
    </w:sdtPr>
    <w:sdtEndPr>
      <w:rPr>
        <w:rFonts w:ascii="Arial Narrow" w:hAnsi="Arial Narrow"/>
        <w:sz w:val="20"/>
      </w:rPr>
    </w:sdtEndPr>
    <w:sdtContent>
      <w:p w14:paraId="3CE2BA52" w14:textId="75655260" w:rsidR="00F63331" w:rsidRPr="003F49A1" w:rsidRDefault="003F49A1" w:rsidP="003F49A1">
        <w:pPr>
          <w:pStyle w:val="Piedepgina"/>
          <w:jc w:val="center"/>
          <w:rPr>
            <w:rFonts w:ascii="Arial Narrow" w:hAnsi="Arial Narrow"/>
            <w:sz w:val="20"/>
          </w:rPr>
        </w:pPr>
        <w:r w:rsidRPr="003F49A1">
          <w:rPr>
            <w:rFonts w:asciiTheme="majorHAnsi" w:hAnsiTheme="majorHAnsi" w:cs="Calibri"/>
            <w:b/>
          </w:rPr>
          <w:t>Vol.4, Núm.8                    Julio – Diciembre 2017                           PAG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66E8E" w14:textId="77777777" w:rsidR="005C2C95" w:rsidRDefault="005C2C95" w:rsidP="002436B8">
      <w:r>
        <w:separator/>
      </w:r>
    </w:p>
  </w:footnote>
  <w:footnote w:type="continuationSeparator" w:id="0">
    <w:p w14:paraId="569857AE" w14:textId="77777777" w:rsidR="005C2C95" w:rsidRDefault="005C2C95" w:rsidP="002436B8">
      <w:r>
        <w:continuationSeparator/>
      </w:r>
    </w:p>
  </w:footnote>
  <w:footnote w:id="1">
    <w:p w14:paraId="216094E3" w14:textId="0035156E" w:rsidR="00F63331" w:rsidRPr="00B03734" w:rsidRDefault="00F63331">
      <w:pPr>
        <w:pStyle w:val="Textonotapie"/>
        <w:rPr>
          <w:rFonts w:ascii="Arial" w:hAnsi="Arial"/>
          <w:sz w:val="18"/>
          <w:szCs w:val="18"/>
        </w:rPr>
      </w:pPr>
      <w:r w:rsidRPr="00B03734">
        <w:rPr>
          <w:rStyle w:val="Refdenotaalpie"/>
          <w:rFonts w:ascii="Arial" w:hAnsi="Arial"/>
          <w:sz w:val="18"/>
          <w:szCs w:val="18"/>
        </w:rPr>
        <w:footnoteRef/>
      </w:r>
      <w:r w:rsidRPr="00B03734">
        <w:rPr>
          <w:rFonts w:ascii="Arial" w:hAnsi="Arial"/>
          <w:sz w:val="18"/>
          <w:szCs w:val="18"/>
        </w:rPr>
        <w:t xml:space="preserve"> </w:t>
      </w:r>
      <w:r>
        <w:rPr>
          <w:rFonts w:ascii="Arial" w:hAnsi="Arial"/>
          <w:sz w:val="18"/>
          <w:szCs w:val="18"/>
        </w:rPr>
        <w:t>I+D, siglas que refieren la Investigación y el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3071" w14:textId="13B44D9E" w:rsidR="003F49A1" w:rsidRDefault="003F49A1">
    <w:pPr>
      <w:pStyle w:val="Encabezado"/>
    </w:pPr>
    <w:r>
      <w:rPr>
        <w:noProof/>
      </w:rPr>
      <w:drawing>
        <wp:inline distT="0" distB="0" distL="0" distR="0" wp14:anchorId="07125682" wp14:editId="1FA2C676">
          <wp:extent cx="5521960" cy="562572"/>
          <wp:effectExtent l="0" t="0" r="254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521960" cy="562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762D"/>
    <w:multiLevelType w:val="hybridMultilevel"/>
    <w:tmpl w:val="F258A3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056599"/>
    <w:multiLevelType w:val="multilevel"/>
    <w:tmpl w:val="ECF8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9704F"/>
    <w:multiLevelType w:val="hybridMultilevel"/>
    <w:tmpl w:val="AF3AD9F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0583EFD"/>
    <w:multiLevelType w:val="hybridMultilevel"/>
    <w:tmpl w:val="7AB852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D3AFD"/>
    <w:multiLevelType w:val="hybridMultilevel"/>
    <w:tmpl w:val="CB7876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09311B"/>
    <w:multiLevelType w:val="hybridMultilevel"/>
    <w:tmpl w:val="2D522A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5A22EB"/>
    <w:multiLevelType w:val="hybridMultilevel"/>
    <w:tmpl w:val="8D58D9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91FA1"/>
    <w:multiLevelType w:val="hybridMultilevel"/>
    <w:tmpl w:val="2A765B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9B3341"/>
    <w:multiLevelType w:val="hybridMultilevel"/>
    <w:tmpl w:val="03D201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844BF"/>
    <w:multiLevelType w:val="hybridMultilevel"/>
    <w:tmpl w:val="3ED280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F21B7E"/>
    <w:multiLevelType w:val="hybridMultilevel"/>
    <w:tmpl w:val="E3B67E6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3E399D"/>
    <w:multiLevelType w:val="hybridMultilevel"/>
    <w:tmpl w:val="EFBA5016"/>
    <w:lvl w:ilvl="0" w:tplc="0C0A0013">
      <w:start w:val="1"/>
      <w:numFmt w:val="upperRoman"/>
      <w:lvlText w:val="%1."/>
      <w:lvlJc w:val="right"/>
      <w:pPr>
        <w:ind w:left="540" w:hanging="18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2" w15:restartNumberingAfterBreak="0">
    <w:nsid w:val="769D430E"/>
    <w:multiLevelType w:val="hybridMultilevel"/>
    <w:tmpl w:val="59C2D79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5971C7"/>
    <w:multiLevelType w:val="hybridMultilevel"/>
    <w:tmpl w:val="7D689C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52037F"/>
    <w:multiLevelType w:val="hybridMultilevel"/>
    <w:tmpl w:val="347E4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1"/>
  </w:num>
  <w:num w:numId="5">
    <w:abstractNumId w:val="14"/>
  </w:num>
  <w:num w:numId="6">
    <w:abstractNumId w:val="1"/>
  </w:num>
  <w:num w:numId="7">
    <w:abstractNumId w:val="9"/>
  </w:num>
  <w:num w:numId="8">
    <w:abstractNumId w:val="5"/>
  </w:num>
  <w:num w:numId="9">
    <w:abstractNumId w:val="3"/>
  </w:num>
  <w:num w:numId="10">
    <w:abstractNumId w:val="0"/>
  </w:num>
  <w:num w:numId="11">
    <w:abstractNumId w:val="6"/>
  </w:num>
  <w:num w:numId="12">
    <w:abstractNumId w:val="13"/>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FE"/>
    <w:rsid w:val="0000058F"/>
    <w:rsid w:val="000114C4"/>
    <w:rsid w:val="000227FA"/>
    <w:rsid w:val="00023386"/>
    <w:rsid w:val="00023E18"/>
    <w:rsid w:val="00024D03"/>
    <w:rsid w:val="00027C8F"/>
    <w:rsid w:val="00040AA0"/>
    <w:rsid w:val="000421DC"/>
    <w:rsid w:val="00042AE1"/>
    <w:rsid w:val="000478A2"/>
    <w:rsid w:val="00051A12"/>
    <w:rsid w:val="000524CF"/>
    <w:rsid w:val="000530BF"/>
    <w:rsid w:val="00053609"/>
    <w:rsid w:val="000537B1"/>
    <w:rsid w:val="00057E18"/>
    <w:rsid w:val="000637CF"/>
    <w:rsid w:val="000640B4"/>
    <w:rsid w:val="00066A0E"/>
    <w:rsid w:val="00066D73"/>
    <w:rsid w:val="0006755E"/>
    <w:rsid w:val="000675CD"/>
    <w:rsid w:val="00067A3E"/>
    <w:rsid w:val="000724DC"/>
    <w:rsid w:val="000738B6"/>
    <w:rsid w:val="000768D0"/>
    <w:rsid w:val="00082C65"/>
    <w:rsid w:val="00086049"/>
    <w:rsid w:val="00092497"/>
    <w:rsid w:val="000A21C0"/>
    <w:rsid w:val="000A5E42"/>
    <w:rsid w:val="000A5ED0"/>
    <w:rsid w:val="000A71D8"/>
    <w:rsid w:val="000A7448"/>
    <w:rsid w:val="000A77D0"/>
    <w:rsid w:val="000B019F"/>
    <w:rsid w:val="000B2AF1"/>
    <w:rsid w:val="000C3461"/>
    <w:rsid w:val="000C7950"/>
    <w:rsid w:val="000D3018"/>
    <w:rsid w:val="000D57D0"/>
    <w:rsid w:val="000D5E86"/>
    <w:rsid w:val="000E33D1"/>
    <w:rsid w:val="000E412A"/>
    <w:rsid w:val="000E7DAD"/>
    <w:rsid w:val="000F44BD"/>
    <w:rsid w:val="000F621D"/>
    <w:rsid w:val="001024F7"/>
    <w:rsid w:val="00105CA9"/>
    <w:rsid w:val="00115E32"/>
    <w:rsid w:val="00117216"/>
    <w:rsid w:val="00125C3D"/>
    <w:rsid w:val="0014193F"/>
    <w:rsid w:val="00142F1A"/>
    <w:rsid w:val="00146369"/>
    <w:rsid w:val="001571EB"/>
    <w:rsid w:val="0016285F"/>
    <w:rsid w:val="00164A09"/>
    <w:rsid w:val="00171AEF"/>
    <w:rsid w:val="00175BD3"/>
    <w:rsid w:val="0017704B"/>
    <w:rsid w:val="001771C1"/>
    <w:rsid w:val="00180C7D"/>
    <w:rsid w:val="00180E84"/>
    <w:rsid w:val="001A0304"/>
    <w:rsid w:val="001A324F"/>
    <w:rsid w:val="001A4E0B"/>
    <w:rsid w:val="001B1B90"/>
    <w:rsid w:val="001C5F2E"/>
    <w:rsid w:val="001C7119"/>
    <w:rsid w:val="001D0874"/>
    <w:rsid w:val="001D5092"/>
    <w:rsid w:val="001F0276"/>
    <w:rsid w:val="001F1E9A"/>
    <w:rsid w:val="002006F9"/>
    <w:rsid w:val="00202458"/>
    <w:rsid w:val="00213A8D"/>
    <w:rsid w:val="00236A25"/>
    <w:rsid w:val="00237041"/>
    <w:rsid w:val="002436B8"/>
    <w:rsid w:val="0024662F"/>
    <w:rsid w:val="00246C07"/>
    <w:rsid w:val="00250B86"/>
    <w:rsid w:val="00253581"/>
    <w:rsid w:val="002549EE"/>
    <w:rsid w:val="00256415"/>
    <w:rsid w:val="0026581F"/>
    <w:rsid w:val="0027064E"/>
    <w:rsid w:val="00271B0E"/>
    <w:rsid w:val="00273F8C"/>
    <w:rsid w:val="002A2556"/>
    <w:rsid w:val="002A5C63"/>
    <w:rsid w:val="002A6ABF"/>
    <w:rsid w:val="002A7D05"/>
    <w:rsid w:val="002B1F7E"/>
    <w:rsid w:val="002B6497"/>
    <w:rsid w:val="002C4016"/>
    <w:rsid w:val="002D1C39"/>
    <w:rsid w:val="002D2C90"/>
    <w:rsid w:val="002D6582"/>
    <w:rsid w:val="002D6BCC"/>
    <w:rsid w:val="002E2AF4"/>
    <w:rsid w:val="002E35F9"/>
    <w:rsid w:val="002E6655"/>
    <w:rsid w:val="002F6090"/>
    <w:rsid w:val="00304777"/>
    <w:rsid w:val="00305929"/>
    <w:rsid w:val="0030641A"/>
    <w:rsid w:val="00310E50"/>
    <w:rsid w:val="003149FC"/>
    <w:rsid w:val="0032095D"/>
    <w:rsid w:val="00322135"/>
    <w:rsid w:val="00323294"/>
    <w:rsid w:val="00324FF2"/>
    <w:rsid w:val="00330AB8"/>
    <w:rsid w:val="00332BBD"/>
    <w:rsid w:val="00333CAD"/>
    <w:rsid w:val="003610C8"/>
    <w:rsid w:val="00361D6D"/>
    <w:rsid w:val="00367AF4"/>
    <w:rsid w:val="0037000E"/>
    <w:rsid w:val="003709B9"/>
    <w:rsid w:val="0038106E"/>
    <w:rsid w:val="00392AE8"/>
    <w:rsid w:val="003969D7"/>
    <w:rsid w:val="003A3B2B"/>
    <w:rsid w:val="003A3D78"/>
    <w:rsid w:val="003B0BA5"/>
    <w:rsid w:val="003B155B"/>
    <w:rsid w:val="003B1F07"/>
    <w:rsid w:val="003B4DC4"/>
    <w:rsid w:val="003B65A8"/>
    <w:rsid w:val="003B6AFE"/>
    <w:rsid w:val="003B7273"/>
    <w:rsid w:val="003B7F12"/>
    <w:rsid w:val="003C5168"/>
    <w:rsid w:val="003D33FE"/>
    <w:rsid w:val="003E53CF"/>
    <w:rsid w:val="003E60FC"/>
    <w:rsid w:val="003F1FA5"/>
    <w:rsid w:val="003F49A1"/>
    <w:rsid w:val="003F4ECC"/>
    <w:rsid w:val="003F5432"/>
    <w:rsid w:val="003F6988"/>
    <w:rsid w:val="004030FB"/>
    <w:rsid w:val="00403B2A"/>
    <w:rsid w:val="0040589A"/>
    <w:rsid w:val="004176EE"/>
    <w:rsid w:val="004233C0"/>
    <w:rsid w:val="00425A95"/>
    <w:rsid w:val="00437778"/>
    <w:rsid w:val="00452579"/>
    <w:rsid w:val="004553E4"/>
    <w:rsid w:val="004620F5"/>
    <w:rsid w:val="004621EC"/>
    <w:rsid w:val="00465762"/>
    <w:rsid w:val="00465916"/>
    <w:rsid w:val="00466205"/>
    <w:rsid w:val="00466EEA"/>
    <w:rsid w:val="0048027B"/>
    <w:rsid w:val="0048117E"/>
    <w:rsid w:val="00482D43"/>
    <w:rsid w:val="00484FAE"/>
    <w:rsid w:val="004858C7"/>
    <w:rsid w:val="00487D5D"/>
    <w:rsid w:val="004A1C19"/>
    <w:rsid w:val="004A1D2F"/>
    <w:rsid w:val="004A26EC"/>
    <w:rsid w:val="004A303F"/>
    <w:rsid w:val="004A41DB"/>
    <w:rsid w:val="004B0201"/>
    <w:rsid w:val="004B5AE4"/>
    <w:rsid w:val="004C5758"/>
    <w:rsid w:val="004E08C6"/>
    <w:rsid w:val="004E096D"/>
    <w:rsid w:val="004E1AF4"/>
    <w:rsid w:val="004E5D3B"/>
    <w:rsid w:val="004E7EB4"/>
    <w:rsid w:val="004F06D9"/>
    <w:rsid w:val="004F247D"/>
    <w:rsid w:val="004F30EB"/>
    <w:rsid w:val="004F3EED"/>
    <w:rsid w:val="004F6785"/>
    <w:rsid w:val="00504FB5"/>
    <w:rsid w:val="00506AE0"/>
    <w:rsid w:val="005155BE"/>
    <w:rsid w:val="00537F28"/>
    <w:rsid w:val="005553DC"/>
    <w:rsid w:val="00556FBD"/>
    <w:rsid w:val="00561B99"/>
    <w:rsid w:val="005640C9"/>
    <w:rsid w:val="00565D03"/>
    <w:rsid w:val="00572AA4"/>
    <w:rsid w:val="00573269"/>
    <w:rsid w:val="00574F65"/>
    <w:rsid w:val="00585A15"/>
    <w:rsid w:val="00585D45"/>
    <w:rsid w:val="005872DB"/>
    <w:rsid w:val="00592BF0"/>
    <w:rsid w:val="005949F0"/>
    <w:rsid w:val="005A1346"/>
    <w:rsid w:val="005A2EA3"/>
    <w:rsid w:val="005B207B"/>
    <w:rsid w:val="005B2347"/>
    <w:rsid w:val="005B4655"/>
    <w:rsid w:val="005C2C95"/>
    <w:rsid w:val="005D34D2"/>
    <w:rsid w:val="005F2814"/>
    <w:rsid w:val="0060478C"/>
    <w:rsid w:val="00610A44"/>
    <w:rsid w:val="006141DD"/>
    <w:rsid w:val="006200F4"/>
    <w:rsid w:val="00622967"/>
    <w:rsid w:val="00633583"/>
    <w:rsid w:val="00634161"/>
    <w:rsid w:val="0064343A"/>
    <w:rsid w:val="0064573C"/>
    <w:rsid w:val="006504D6"/>
    <w:rsid w:val="00653CAC"/>
    <w:rsid w:val="00657443"/>
    <w:rsid w:val="00661615"/>
    <w:rsid w:val="006723DA"/>
    <w:rsid w:val="00674B99"/>
    <w:rsid w:val="00687B85"/>
    <w:rsid w:val="00690078"/>
    <w:rsid w:val="006925A0"/>
    <w:rsid w:val="0069504B"/>
    <w:rsid w:val="0069595C"/>
    <w:rsid w:val="006A2060"/>
    <w:rsid w:val="006A29C3"/>
    <w:rsid w:val="006A2E5B"/>
    <w:rsid w:val="006A3E7F"/>
    <w:rsid w:val="006B4661"/>
    <w:rsid w:val="006B6321"/>
    <w:rsid w:val="006B681B"/>
    <w:rsid w:val="006C458C"/>
    <w:rsid w:val="006D1CD8"/>
    <w:rsid w:val="006D24DC"/>
    <w:rsid w:val="006D285B"/>
    <w:rsid w:val="006D58FE"/>
    <w:rsid w:val="006E055C"/>
    <w:rsid w:val="006E3CA5"/>
    <w:rsid w:val="006E6062"/>
    <w:rsid w:val="006F1292"/>
    <w:rsid w:val="006F4593"/>
    <w:rsid w:val="006F4FBB"/>
    <w:rsid w:val="007015F1"/>
    <w:rsid w:val="00701CAE"/>
    <w:rsid w:val="00703419"/>
    <w:rsid w:val="0070486F"/>
    <w:rsid w:val="00710B39"/>
    <w:rsid w:val="00732C7B"/>
    <w:rsid w:val="007340BB"/>
    <w:rsid w:val="0073597B"/>
    <w:rsid w:val="00740701"/>
    <w:rsid w:val="00742019"/>
    <w:rsid w:val="007527E3"/>
    <w:rsid w:val="0075432F"/>
    <w:rsid w:val="00757846"/>
    <w:rsid w:val="00757987"/>
    <w:rsid w:val="00760226"/>
    <w:rsid w:val="00762620"/>
    <w:rsid w:val="00763235"/>
    <w:rsid w:val="00764CF2"/>
    <w:rsid w:val="007667D2"/>
    <w:rsid w:val="00775FA2"/>
    <w:rsid w:val="007761E4"/>
    <w:rsid w:val="007827E7"/>
    <w:rsid w:val="00784111"/>
    <w:rsid w:val="00785AB0"/>
    <w:rsid w:val="007900AB"/>
    <w:rsid w:val="0079036A"/>
    <w:rsid w:val="00797764"/>
    <w:rsid w:val="007A5EE6"/>
    <w:rsid w:val="007B4008"/>
    <w:rsid w:val="007D10C0"/>
    <w:rsid w:val="007D3449"/>
    <w:rsid w:val="007D4530"/>
    <w:rsid w:val="007E199E"/>
    <w:rsid w:val="007E2350"/>
    <w:rsid w:val="007E4F8D"/>
    <w:rsid w:val="007E6905"/>
    <w:rsid w:val="007F06A0"/>
    <w:rsid w:val="007F71B3"/>
    <w:rsid w:val="007F7DD0"/>
    <w:rsid w:val="00800ACB"/>
    <w:rsid w:val="00802698"/>
    <w:rsid w:val="00802FFB"/>
    <w:rsid w:val="00803A98"/>
    <w:rsid w:val="00816F44"/>
    <w:rsid w:val="00823BD8"/>
    <w:rsid w:val="00823D03"/>
    <w:rsid w:val="00826A2C"/>
    <w:rsid w:val="0083198D"/>
    <w:rsid w:val="00835B2A"/>
    <w:rsid w:val="00840C53"/>
    <w:rsid w:val="00841AE1"/>
    <w:rsid w:val="008436D6"/>
    <w:rsid w:val="00843BF0"/>
    <w:rsid w:val="00855859"/>
    <w:rsid w:val="00864320"/>
    <w:rsid w:val="008648F2"/>
    <w:rsid w:val="008678CA"/>
    <w:rsid w:val="00873EC2"/>
    <w:rsid w:val="008750AA"/>
    <w:rsid w:val="008758AB"/>
    <w:rsid w:val="00875BB8"/>
    <w:rsid w:val="00876BAA"/>
    <w:rsid w:val="0089159B"/>
    <w:rsid w:val="00893101"/>
    <w:rsid w:val="00893227"/>
    <w:rsid w:val="00895AA4"/>
    <w:rsid w:val="008A1200"/>
    <w:rsid w:val="008A3240"/>
    <w:rsid w:val="008B3A3C"/>
    <w:rsid w:val="008B5056"/>
    <w:rsid w:val="008D22E4"/>
    <w:rsid w:val="008D3EA6"/>
    <w:rsid w:val="008D4F7D"/>
    <w:rsid w:val="008D7A73"/>
    <w:rsid w:val="008E2164"/>
    <w:rsid w:val="008F3EA3"/>
    <w:rsid w:val="008F6247"/>
    <w:rsid w:val="008F6E9B"/>
    <w:rsid w:val="009004C3"/>
    <w:rsid w:val="00900972"/>
    <w:rsid w:val="00902068"/>
    <w:rsid w:val="00906F23"/>
    <w:rsid w:val="00915D86"/>
    <w:rsid w:val="00916B54"/>
    <w:rsid w:val="00940767"/>
    <w:rsid w:val="00944E20"/>
    <w:rsid w:val="00944FDE"/>
    <w:rsid w:val="009453AC"/>
    <w:rsid w:val="0095139F"/>
    <w:rsid w:val="00951ED6"/>
    <w:rsid w:val="00955C4A"/>
    <w:rsid w:val="00960569"/>
    <w:rsid w:val="00966568"/>
    <w:rsid w:val="00971811"/>
    <w:rsid w:val="00971CEF"/>
    <w:rsid w:val="00974308"/>
    <w:rsid w:val="009823F6"/>
    <w:rsid w:val="00984C89"/>
    <w:rsid w:val="00986358"/>
    <w:rsid w:val="0098665E"/>
    <w:rsid w:val="009928C7"/>
    <w:rsid w:val="00994724"/>
    <w:rsid w:val="00996B68"/>
    <w:rsid w:val="009B087C"/>
    <w:rsid w:val="009B1DBB"/>
    <w:rsid w:val="009B2208"/>
    <w:rsid w:val="009B2E99"/>
    <w:rsid w:val="009B3E5B"/>
    <w:rsid w:val="009C2EE9"/>
    <w:rsid w:val="009D6449"/>
    <w:rsid w:val="009E483D"/>
    <w:rsid w:val="009E5A5B"/>
    <w:rsid w:val="009E5F89"/>
    <w:rsid w:val="00A06FDA"/>
    <w:rsid w:val="00A07FCB"/>
    <w:rsid w:val="00A10788"/>
    <w:rsid w:val="00A112E1"/>
    <w:rsid w:val="00A1365B"/>
    <w:rsid w:val="00A24A0C"/>
    <w:rsid w:val="00A25FBC"/>
    <w:rsid w:val="00A27666"/>
    <w:rsid w:val="00A312C2"/>
    <w:rsid w:val="00A31E4F"/>
    <w:rsid w:val="00A333DB"/>
    <w:rsid w:val="00A4384A"/>
    <w:rsid w:val="00A50FED"/>
    <w:rsid w:val="00A525FC"/>
    <w:rsid w:val="00A53D99"/>
    <w:rsid w:val="00A656BE"/>
    <w:rsid w:val="00A733AD"/>
    <w:rsid w:val="00A737D3"/>
    <w:rsid w:val="00A772F6"/>
    <w:rsid w:val="00A80F28"/>
    <w:rsid w:val="00A83C83"/>
    <w:rsid w:val="00A84FD7"/>
    <w:rsid w:val="00A95056"/>
    <w:rsid w:val="00AA1D37"/>
    <w:rsid w:val="00AB0FA5"/>
    <w:rsid w:val="00AB1296"/>
    <w:rsid w:val="00AB1498"/>
    <w:rsid w:val="00AB6575"/>
    <w:rsid w:val="00AC1694"/>
    <w:rsid w:val="00AC52F6"/>
    <w:rsid w:val="00AD3F5F"/>
    <w:rsid w:val="00AE2994"/>
    <w:rsid w:val="00AE31B5"/>
    <w:rsid w:val="00AE4820"/>
    <w:rsid w:val="00AF0BDC"/>
    <w:rsid w:val="00AF654D"/>
    <w:rsid w:val="00B012AB"/>
    <w:rsid w:val="00B03734"/>
    <w:rsid w:val="00B039EB"/>
    <w:rsid w:val="00B13BFB"/>
    <w:rsid w:val="00B145B4"/>
    <w:rsid w:val="00B14BEA"/>
    <w:rsid w:val="00B15BF0"/>
    <w:rsid w:val="00B15EC8"/>
    <w:rsid w:val="00B268A3"/>
    <w:rsid w:val="00B269FD"/>
    <w:rsid w:val="00B2781B"/>
    <w:rsid w:val="00B33716"/>
    <w:rsid w:val="00B43997"/>
    <w:rsid w:val="00B45CA8"/>
    <w:rsid w:val="00B47096"/>
    <w:rsid w:val="00B51B86"/>
    <w:rsid w:val="00B60E81"/>
    <w:rsid w:val="00B62955"/>
    <w:rsid w:val="00B63CCF"/>
    <w:rsid w:val="00B67A0C"/>
    <w:rsid w:val="00B71A5B"/>
    <w:rsid w:val="00B74583"/>
    <w:rsid w:val="00B7682C"/>
    <w:rsid w:val="00B77008"/>
    <w:rsid w:val="00B91796"/>
    <w:rsid w:val="00B9230D"/>
    <w:rsid w:val="00BA44AF"/>
    <w:rsid w:val="00BA4BFF"/>
    <w:rsid w:val="00BA572F"/>
    <w:rsid w:val="00BA7F3B"/>
    <w:rsid w:val="00BB06F9"/>
    <w:rsid w:val="00BB2435"/>
    <w:rsid w:val="00BB3F7F"/>
    <w:rsid w:val="00BC076B"/>
    <w:rsid w:val="00BD39B0"/>
    <w:rsid w:val="00BD3D7E"/>
    <w:rsid w:val="00BD44C4"/>
    <w:rsid w:val="00BD663F"/>
    <w:rsid w:val="00BD77F7"/>
    <w:rsid w:val="00BE24F1"/>
    <w:rsid w:val="00BE29F0"/>
    <w:rsid w:val="00BE3104"/>
    <w:rsid w:val="00BF5233"/>
    <w:rsid w:val="00C02134"/>
    <w:rsid w:val="00C05671"/>
    <w:rsid w:val="00C10AFA"/>
    <w:rsid w:val="00C1628C"/>
    <w:rsid w:val="00C1639F"/>
    <w:rsid w:val="00C260CD"/>
    <w:rsid w:val="00C26845"/>
    <w:rsid w:val="00C30FD0"/>
    <w:rsid w:val="00C3328A"/>
    <w:rsid w:val="00C36CC3"/>
    <w:rsid w:val="00C4005C"/>
    <w:rsid w:val="00C409D9"/>
    <w:rsid w:val="00C44B8D"/>
    <w:rsid w:val="00C466CD"/>
    <w:rsid w:val="00C47EAF"/>
    <w:rsid w:val="00C53855"/>
    <w:rsid w:val="00C61B09"/>
    <w:rsid w:val="00C65ADE"/>
    <w:rsid w:val="00C676B2"/>
    <w:rsid w:val="00C73CBF"/>
    <w:rsid w:val="00C759CE"/>
    <w:rsid w:val="00C77BA4"/>
    <w:rsid w:val="00C801B5"/>
    <w:rsid w:val="00C8058F"/>
    <w:rsid w:val="00C8371C"/>
    <w:rsid w:val="00C970BE"/>
    <w:rsid w:val="00CA03CE"/>
    <w:rsid w:val="00CA4BC5"/>
    <w:rsid w:val="00CA564F"/>
    <w:rsid w:val="00CA61BF"/>
    <w:rsid w:val="00CC4BE8"/>
    <w:rsid w:val="00CD2305"/>
    <w:rsid w:val="00CD3A54"/>
    <w:rsid w:val="00CD4435"/>
    <w:rsid w:val="00CD4A17"/>
    <w:rsid w:val="00CE56B5"/>
    <w:rsid w:val="00CF3A09"/>
    <w:rsid w:val="00CF7502"/>
    <w:rsid w:val="00D00037"/>
    <w:rsid w:val="00D02042"/>
    <w:rsid w:val="00D03142"/>
    <w:rsid w:val="00D114A2"/>
    <w:rsid w:val="00D160AF"/>
    <w:rsid w:val="00D16FB8"/>
    <w:rsid w:val="00D222F9"/>
    <w:rsid w:val="00D23588"/>
    <w:rsid w:val="00D3658B"/>
    <w:rsid w:val="00D36DFB"/>
    <w:rsid w:val="00D43E69"/>
    <w:rsid w:val="00D53280"/>
    <w:rsid w:val="00D54922"/>
    <w:rsid w:val="00D552CD"/>
    <w:rsid w:val="00D6037E"/>
    <w:rsid w:val="00D60BF6"/>
    <w:rsid w:val="00D6532A"/>
    <w:rsid w:val="00D6714F"/>
    <w:rsid w:val="00D707C1"/>
    <w:rsid w:val="00D718E6"/>
    <w:rsid w:val="00D762E1"/>
    <w:rsid w:val="00D80502"/>
    <w:rsid w:val="00D83B84"/>
    <w:rsid w:val="00D84ED9"/>
    <w:rsid w:val="00D8723F"/>
    <w:rsid w:val="00D930EF"/>
    <w:rsid w:val="00DA7921"/>
    <w:rsid w:val="00DC4A77"/>
    <w:rsid w:val="00DD0B37"/>
    <w:rsid w:val="00DD1303"/>
    <w:rsid w:val="00DD20FA"/>
    <w:rsid w:val="00DE4600"/>
    <w:rsid w:val="00DE542C"/>
    <w:rsid w:val="00DE585D"/>
    <w:rsid w:val="00DE77C8"/>
    <w:rsid w:val="00DF054E"/>
    <w:rsid w:val="00DF1019"/>
    <w:rsid w:val="00DF42CC"/>
    <w:rsid w:val="00E02E7F"/>
    <w:rsid w:val="00E03A05"/>
    <w:rsid w:val="00E077DD"/>
    <w:rsid w:val="00E1080F"/>
    <w:rsid w:val="00E120A9"/>
    <w:rsid w:val="00E12AA3"/>
    <w:rsid w:val="00E12F95"/>
    <w:rsid w:val="00E227C6"/>
    <w:rsid w:val="00E25AAD"/>
    <w:rsid w:val="00E34AFE"/>
    <w:rsid w:val="00E35170"/>
    <w:rsid w:val="00E352FB"/>
    <w:rsid w:val="00E35738"/>
    <w:rsid w:val="00E36E2B"/>
    <w:rsid w:val="00E4209E"/>
    <w:rsid w:val="00E5285F"/>
    <w:rsid w:val="00E544B4"/>
    <w:rsid w:val="00E55FE6"/>
    <w:rsid w:val="00E61A68"/>
    <w:rsid w:val="00E6335B"/>
    <w:rsid w:val="00E6369F"/>
    <w:rsid w:val="00E63AEF"/>
    <w:rsid w:val="00E74734"/>
    <w:rsid w:val="00E81374"/>
    <w:rsid w:val="00E87FED"/>
    <w:rsid w:val="00E910D1"/>
    <w:rsid w:val="00E93092"/>
    <w:rsid w:val="00E94D99"/>
    <w:rsid w:val="00EA428D"/>
    <w:rsid w:val="00EA633A"/>
    <w:rsid w:val="00EB03B8"/>
    <w:rsid w:val="00EB0AD4"/>
    <w:rsid w:val="00EB1274"/>
    <w:rsid w:val="00EB2BEA"/>
    <w:rsid w:val="00EB69AC"/>
    <w:rsid w:val="00EB7F79"/>
    <w:rsid w:val="00EC07D6"/>
    <w:rsid w:val="00EE153A"/>
    <w:rsid w:val="00EE3D71"/>
    <w:rsid w:val="00F0119F"/>
    <w:rsid w:val="00F025A6"/>
    <w:rsid w:val="00F0330C"/>
    <w:rsid w:val="00F11A3D"/>
    <w:rsid w:val="00F13340"/>
    <w:rsid w:val="00F1422C"/>
    <w:rsid w:val="00F14D87"/>
    <w:rsid w:val="00F15C3C"/>
    <w:rsid w:val="00F20255"/>
    <w:rsid w:val="00F20D29"/>
    <w:rsid w:val="00F230C4"/>
    <w:rsid w:val="00F230E8"/>
    <w:rsid w:val="00F327F7"/>
    <w:rsid w:val="00F343EE"/>
    <w:rsid w:val="00F407C3"/>
    <w:rsid w:val="00F4093F"/>
    <w:rsid w:val="00F45ADC"/>
    <w:rsid w:val="00F539EA"/>
    <w:rsid w:val="00F56593"/>
    <w:rsid w:val="00F61B67"/>
    <w:rsid w:val="00F62224"/>
    <w:rsid w:val="00F62B9D"/>
    <w:rsid w:val="00F63331"/>
    <w:rsid w:val="00F65C44"/>
    <w:rsid w:val="00F746A1"/>
    <w:rsid w:val="00F8213A"/>
    <w:rsid w:val="00F86294"/>
    <w:rsid w:val="00F87DD4"/>
    <w:rsid w:val="00F907B0"/>
    <w:rsid w:val="00F95DBD"/>
    <w:rsid w:val="00F96385"/>
    <w:rsid w:val="00F97502"/>
    <w:rsid w:val="00FA0A3E"/>
    <w:rsid w:val="00FA1ABD"/>
    <w:rsid w:val="00FA3D86"/>
    <w:rsid w:val="00FB5040"/>
    <w:rsid w:val="00FB6570"/>
    <w:rsid w:val="00FC0AE8"/>
    <w:rsid w:val="00FC45AB"/>
    <w:rsid w:val="00FC48BC"/>
    <w:rsid w:val="00FC6135"/>
    <w:rsid w:val="00FD1ABF"/>
    <w:rsid w:val="00FD4449"/>
    <w:rsid w:val="00FD4A15"/>
    <w:rsid w:val="00FE1001"/>
    <w:rsid w:val="00FE7C88"/>
    <w:rsid w:val="00FF76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73F8A"/>
  <w14:defaultImageDpi w14:val="300"/>
  <w15:docId w15:val="{9EFB4B6B-55C3-4D72-9BA5-ED73E3BE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F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5AB0"/>
    <w:rPr>
      <w:color w:val="0000FF" w:themeColor="hyperlink"/>
      <w:u w:val="single"/>
    </w:rPr>
  </w:style>
  <w:style w:type="paragraph" w:styleId="Textodeglobo">
    <w:name w:val="Balloon Text"/>
    <w:basedOn w:val="Normal"/>
    <w:link w:val="TextodegloboCar"/>
    <w:uiPriority w:val="99"/>
    <w:semiHidden/>
    <w:unhideWhenUsed/>
    <w:rsid w:val="00B7458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74583"/>
    <w:rPr>
      <w:rFonts w:ascii="Lucida Grande" w:hAnsi="Lucida Grande" w:cs="Lucida Grande"/>
      <w:sz w:val="18"/>
      <w:szCs w:val="18"/>
    </w:rPr>
  </w:style>
  <w:style w:type="paragraph" w:styleId="Textonotapie">
    <w:name w:val="footnote text"/>
    <w:basedOn w:val="Normal"/>
    <w:link w:val="TextonotapieCar"/>
    <w:uiPriority w:val="99"/>
    <w:unhideWhenUsed/>
    <w:rsid w:val="002436B8"/>
  </w:style>
  <w:style w:type="character" w:customStyle="1" w:styleId="TextonotapieCar">
    <w:name w:val="Texto nota pie Car"/>
    <w:basedOn w:val="Fuentedeprrafopredeter"/>
    <w:link w:val="Textonotapie"/>
    <w:uiPriority w:val="99"/>
    <w:rsid w:val="002436B8"/>
  </w:style>
  <w:style w:type="character" w:styleId="Refdenotaalpie">
    <w:name w:val="footnote reference"/>
    <w:basedOn w:val="Fuentedeprrafopredeter"/>
    <w:uiPriority w:val="99"/>
    <w:unhideWhenUsed/>
    <w:rsid w:val="002436B8"/>
    <w:rPr>
      <w:vertAlign w:val="superscript"/>
    </w:rPr>
  </w:style>
  <w:style w:type="paragraph" w:styleId="Prrafodelista">
    <w:name w:val="List Paragraph"/>
    <w:basedOn w:val="Normal"/>
    <w:uiPriority w:val="34"/>
    <w:qFormat/>
    <w:rsid w:val="00840C53"/>
    <w:pPr>
      <w:ind w:left="720"/>
      <w:contextualSpacing/>
    </w:pPr>
  </w:style>
  <w:style w:type="paragraph" w:styleId="Piedepgina">
    <w:name w:val="footer"/>
    <w:basedOn w:val="Normal"/>
    <w:link w:val="PiedepginaCar"/>
    <w:uiPriority w:val="99"/>
    <w:unhideWhenUsed/>
    <w:rsid w:val="006E055C"/>
    <w:pPr>
      <w:tabs>
        <w:tab w:val="center" w:pos="4252"/>
        <w:tab w:val="right" w:pos="8504"/>
      </w:tabs>
    </w:pPr>
  </w:style>
  <w:style w:type="character" w:customStyle="1" w:styleId="PiedepginaCar">
    <w:name w:val="Pie de página Car"/>
    <w:basedOn w:val="Fuentedeprrafopredeter"/>
    <w:link w:val="Piedepgina"/>
    <w:uiPriority w:val="99"/>
    <w:rsid w:val="006E055C"/>
  </w:style>
  <w:style w:type="character" w:styleId="Nmerodepgina">
    <w:name w:val="page number"/>
    <w:basedOn w:val="Fuentedeprrafopredeter"/>
    <w:uiPriority w:val="99"/>
    <w:semiHidden/>
    <w:unhideWhenUsed/>
    <w:rsid w:val="006E055C"/>
  </w:style>
  <w:style w:type="paragraph" w:styleId="Encabezado">
    <w:name w:val="header"/>
    <w:basedOn w:val="Normal"/>
    <w:link w:val="EncabezadoCar"/>
    <w:uiPriority w:val="99"/>
    <w:unhideWhenUsed/>
    <w:rsid w:val="00323294"/>
    <w:pPr>
      <w:tabs>
        <w:tab w:val="center" w:pos="4252"/>
        <w:tab w:val="right" w:pos="8504"/>
      </w:tabs>
    </w:pPr>
  </w:style>
  <w:style w:type="character" w:customStyle="1" w:styleId="EncabezadoCar">
    <w:name w:val="Encabezado Car"/>
    <w:basedOn w:val="Fuentedeprrafopredeter"/>
    <w:link w:val="Encabezado"/>
    <w:uiPriority w:val="99"/>
    <w:rsid w:val="00323294"/>
  </w:style>
  <w:style w:type="paragraph" w:styleId="NormalWeb">
    <w:name w:val="Normal (Web)"/>
    <w:basedOn w:val="Normal"/>
    <w:uiPriority w:val="99"/>
    <w:semiHidden/>
    <w:unhideWhenUsed/>
    <w:rsid w:val="004A1D2F"/>
    <w:pPr>
      <w:spacing w:before="100" w:beforeAutospacing="1" w:after="100" w:afterAutospacing="1"/>
    </w:pPr>
    <w:rPr>
      <w:rFonts w:ascii="Times" w:hAnsi="Times" w:cs="Times New Roman"/>
      <w:sz w:val="20"/>
      <w:szCs w:val="20"/>
      <w:lang w:val="es-MX"/>
    </w:rPr>
  </w:style>
  <w:style w:type="character" w:styleId="Hipervnculovisitado">
    <w:name w:val="FollowedHyperlink"/>
    <w:basedOn w:val="Fuentedeprrafopredeter"/>
    <w:uiPriority w:val="99"/>
    <w:semiHidden/>
    <w:unhideWhenUsed/>
    <w:rsid w:val="007E199E"/>
    <w:rPr>
      <w:color w:val="800080" w:themeColor="followedHyperlink"/>
      <w:u w:val="single"/>
    </w:rPr>
  </w:style>
  <w:style w:type="table" w:styleId="Tablaconcuadrcula">
    <w:name w:val="Table Grid"/>
    <w:basedOn w:val="Tablanormal"/>
    <w:uiPriority w:val="59"/>
    <w:rsid w:val="0058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7554">
      <w:bodyDiv w:val="1"/>
      <w:marLeft w:val="0"/>
      <w:marRight w:val="0"/>
      <w:marTop w:val="0"/>
      <w:marBottom w:val="0"/>
      <w:divBdr>
        <w:top w:val="none" w:sz="0" w:space="0" w:color="auto"/>
        <w:left w:val="none" w:sz="0" w:space="0" w:color="auto"/>
        <w:bottom w:val="none" w:sz="0" w:space="0" w:color="auto"/>
        <w:right w:val="none" w:sz="0" w:space="0" w:color="auto"/>
      </w:divBdr>
      <w:divsChild>
        <w:div w:id="1720280341">
          <w:marLeft w:val="0"/>
          <w:marRight w:val="0"/>
          <w:marTop w:val="0"/>
          <w:marBottom w:val="0"/>
          <w:divBdr>
            <w:top w:val="none" w:sz="0" w:space="0" w:color="auto"/>
            <w:left w:val="none" w:sz="0" w:space="0" w:color="auto"/>
            <w:bottom w:val="none" w:sz="0" w:space="0" w:color="auto"/>
            <w:right w:val="none" w:sz="0" w:space="0" w:color="auto"/>
          </w:divBdr>
          <w:divsChild>
            <w:div w:id="1362054522">
              <w:marLeft w:val="0"/>
              <w:marRight w:val="0"/>
              <w:marTop w:val="0"/>
              <w:marBottom w:val="0"/>
              <w:divBdr>
                <w:top w:val="none" w:sz="0" w:space="0" w:color="auto"/>
                <w:left w:val="none" w:sz="0" w:space="0" w:color="auto"/>
                <w:bottom w:val="none" w:sz="0" w:space="0" w:color="auto"/>
                <w:right w:val="none" w:sz="0" w:space="0" w:color="auto"/>
              </w:divBdr>
              <w:divsChild>
                <w:div w:id="842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4230">
      <w:bodyDiv w:val="1"/>
      <w:marLeft w:val="0"/>
      <w:marRight w:val="0"/>
      <w:marTop w:val="0"/>
      <w:marBottom w:val="0"/>
      <w:divBdr>
        <w:top w:val="none" w:sz="0" w:space="0" w:color="auto"/>
        <w:left w:val="none" w:sz="0" w:space="0" w:color="auto"/>
        <w:bottom w:val="none" w:sz="0" w:space="0" w:color="auto"/>
        <w:right w:val="none" w:sz="0" w:space="0" w:color="auto"/>
      </w:divBdr>
      <w:divsChild>
        <w:div w:id="901910893">
          <w:marLeft w:val="0"/>
          <w:marRight w:val="0"/>
          <w:marTop w:val="0"/>
          <w:marBottom w:val="0"/>
          <w:divBdr>
            <w:top w:val="none" w:sz="0" w:space="0" w:color="auto"/>
            <w:left w:val="none" w:sz="0" w:space="0" w:color="auto"/>
            <w:bottom w:val="none" w:sz="0" w:space="0" w:color="auto"/>
            <w:right w:val="none" w:sz="0" w:space="0" w:color="auto"/>
          </w:divBdr>
          <w:divsChild>
            <w:div w:id="293759035">
              <w:marLeft w:val="0"/>
              <w:marRight w:val="0"/>
              <w:marTop w:val="0"/>
              <w:marBottom w:val="0"/>
              <w:divBdr>
                <w:top w:val="none" w:sz="0" w:space="0" w:color="auto"/>
                <w:left w:val="none" w:sz="0" w:space="0" w:color="auto"/>
                <w:bottom w:val="none" w:sz="0" w:space="0" w:color="auto"/>
                <w:right w:val="none" w:sz="0" w:space="0" w:color="auto"/>
              </w:divBdr>
              <w:divsChild>
                <w:div w:id="2820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varreteh@ipn.mx" TargetMode="External"/><Relationship Id="rId13" Type="http://schemas.openxmlformats.org/officeDocument/2006/relationships/hyperlink" Target="https://books.google.com.m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google.com.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desin.mx/news/indice-competitividad-global-2016-%202017-via-foro-economico-mundial/" TargetMode="External"/><Relationship Id="rId5" Type="http://schemas.openxmlformats.org/officeDocument/2006/relationships/webSettings" Target="webSettings.xml"/><Relationship Id="rId15" Type="http://schemas.openxmlformats.org/officeDocument/2006/relationships/hyperlink" Target="http://scielo.sld.cu/scielo.php?script=sci_arttext&amp;pid=S0252-85842015000300009" TargetMode="External"/><Relationship Id="rId10" Type="http://schemas.openxmlformats.org/officeDocument/2006/relationships/hyperlink" Target="https://books.google.com.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ricyt.org/publ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FEDD77-E545-4D49-8EF1-B4478F1E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19</Pages>
  <Words>4520</Words>
  <Characters>24862</Characters>
  <Application>Microsoft Office Word</Application>
  <DocSecurity>0</DocSecurity>
  <Lines>207</Lines>
  <Paragraphs>58</Paragraphs>
  <ScaleCrop>false</ScaleCrop>
  <Company>CASITA</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NAVARRETE</dc:creator>
  <cp:keywords/>
  <cp:lastModifiedBy>Naira Niktè Santillan</cp:lastModifiedBy>
  <cp:revision>127</cp:revision>
  <cp:lastPrinted>2017-10-05T20:56:00Z</cp:lastPrinted>
  <dcterms:created xsi:type="dcterms:W3CDTF">2017-10-03T21:09:00Z</dcterms:created>
  <dcterms:modified xsi:type="dcterms:W3CDTF">2017-10-09T17:33:00Z</dcterms:modified>
</cp:coreProperties>
</file>