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42F49" w14:textId="56C43948" w:rsidR="005A17FA" w:rsidRDefault="005A17FA" w:rsidP="009825B3">
      <w:pPr>
        <w:spacing w:before="240" w:after="0" w:line="360" w:lineRule="auto"/>
        <w:jc w:val="right"/>
        <w:rPr>
          <w:rFonts w:ascii="Times New Roman" w:eastAsia="Times New Roman" w:hAnsi="Times New Roman" w:cs="Times New Roman"/>
          <w:b/>
          <w:bCs/>
          <w:color w:val="000000"/>
          <w:sz w:val="24"/>
          <w:szCs w:val="24"/>
          <w:lang w:eastAsia="es-MX"/>
        </w:rPr>
      </w:pPr>
      <w:r w:rsidRPr="00A31913">
        <w:rPr>
          <w:rFonts w:ascii="Times New Roman" w:hAnsi="Times New Roman"/>
          <w:b/>
          <w:bCs/>
          <w:i/>
          <w:iCs/>
          <w:sz w:val="24"/>
          <w:szCs w:val="24"/>
        </w:rPr>
        <w:t>Artículos científicos</w:t>
      </w:r>
    </w:p>
    <w:p w14:paraId="7B7BB511" w14:textId="6746E4C6" w:rsidR="00FA6CAC" w:rsidRPr="005A17FA" w:rsidRDefault="00FA6CAC" w:rsidP="005A17FA">
      <w:pPr>
        <w:spacing w:before="240" w:after="0" w:line="276" w:lineRule="auto"/>
        <w:jc w:val="right"/>
        <w:rPr>
          <w:rFonts w:ascii="Calibri" w:eastAsia="Calibri" w:hAnsi="Calibri" w:cs="Calibri"/>
          <w:b/>
          <w:color w:val="000000"/>
          <w:sz w:val="36"/>
          <w:szCs w:val="36"/>
          <w:lang w:val="es-ES" w:eastAsia="es-MX"/>
        </w:rPr>
      </w:pPr>
      <w:r w:rsidRPr="005A17FA">
        <w:rPr>
          <w:rFonts w:ascii="Calibri" w:eastAsia="Calibri" w:hAnsi="Calibri" w:cs="Calibri"/>
          <w:b/>
          <w:color w:val="000000"/>
          <w:sz w:val="36"/>
          <w:szCs w:val="36"/>
          <w:lang w:val="es-ES" w:eastAsia="es-MX"/>
        </w:rPr>
        <w:t xml:space="preserve">Migración de retorno a México y capitales </w:t>
      </w:r>
      <w:r w:rsidR="00D44C5C" w:rsidRPr="005A17FA">
        <w:rPr>
          <w:rFonts w:ascii="Calibri" w:eastAsia="Calibri" w:hAnsi="Calibri" w:cs="Calibri"/>
          <w:b/>
          <w:color w:val="000000"/>
          <w:sz w:val="36"/>
          <w:szCs w:val="36"/>
          <w:lang w:val="es-ES" w:eastAsia="es-MX"/>
        </w:rPr>
        <w:t>para entender</w:t>
      </w:r>
      <w:r w:rsidRPr="005A17FA">
        <w:rPr>
          <w:rFonts w:ascii="Calibri" w:eastAsia="Calibri" w:hAnsi="Calibri" w:cs="Calibri"/>
          <w:b/>
          <w:color w:val="000000"/>
          <w:sz w:val="36"/>
          <w:szCs w:val="36"/>
          <w:lang w:val="es-ES" w:eastAsia="es-MX"/>
        </w:rPr>
        <w:t xml:space="preserve"> la asistencia escolar</w:t>
      </w:r>
      <w:r w:rsidR="00D44C5C" w:rsidRPr="005A17FA">
        <w:rPr>
          <w:rFonts w:ascii="Calibri" w:eastAsia="Calibri" w:hAnsi="Calibri" w:cs="Calibri"/>
          <w:b/>
          <w:color w:val="000000"/>
          <w:sz w:val="36"/>
          <w:szCs w:val="36"/>
          <w:lang w:val="es-ES" w:eastAsia="es-MX"/>
        </w:rPr>
        <w:t xml:space="preserve"> de jóvenes</w:t>
      </w:r>
    </w:p>
    <w:p w14:paraId="7F83FFEF" w14:textId="310918CC" w:rsidR="006256E5" w:rsidRPr="005A17FA" w:rsidRDefault="006256E5" w:rsidP="005A17FA">
      <w:pPr>
        <w:spacing w:before="240" w:after="0" w:line="276" w:lineRule="auto"/>
        <w:jc w:val="right"/>
        <w:rPr>
          <w:rFonts w:ascii="Calibri" w:eastAsia="Calibri" w:hAnsi="Calibri" w:cs="Calibri"/>
          <w:b/>
          <w:i/>
          <w:iCs/>
          <w:color w:val="000000"/>
          <w:sz w:val="28"/>
          <w:szCs w:val="28"/>
          <w:lang w:val="es-ES" w:eastAsia="es-MX"/>
        </w:rPr>
      </w:pPr>
      <w:r w:rsidRPr="005A17FA">
        <w:rPr>
          <w:rFonts w:ascii="Calibri" w:eastAsia="Calibri" w:hAnsi="Calibri" w:cs="Calibri"/>
          <w:b/>
          <w:i/>
          <w:iCs/>
          <w:color w:val="000000"/>
          <w:sz w:val="28"/>
          <w:szCs w:val="28"/>
          <w:lang w:val="es-ES" w:eastAsia="es-MX"/>
        </w:rPr>
        <w:t>Return migration to Mexico and capital</w:t>
      </w:r>
      <w:r w:rsidR="00FB09B0" w:rsidRPr="005A17FA">
        <w:rPr>
          <w:rFonts w:ascii="Calibri" w:eastAsia="Calibri" w:hAnsi="Calibri" w:cs="Calibri"/>
          <w:b/>
          <w:i/>
          <w:iCs/>
          <w:color w:val="000000"/>
          <w:sz w:val="28"/>
          <w:szCs w:val="28"/>
          <w:lang w:val="es-ES" w:eastAsia="es-MX"/>
        </w:rPr>
        <w:t>s</w:t>
      </w:r>
      <w:r w:rsidRPr="005A17FA">
        <w:rPr>
          <w:rFonts w:ascii="Calibri" w:eastAsia="Calibri" w:hAnsi="Calibri" w:cs="Calibri"/>
          <w:b/>
          <w:i/>
          <w:iCs/>
          <w:color w:val="000000"/>
          <w:sz w:val="28"/>
          <w:szCs w:val="28"/>
          <w:lang w:val="es-ES" w:eastAsia="es-MX"/>
        </w:rPr>
        <w:t xml:space="preserve"> to understand the school attendance of young people</w:t>
      </w:r>
    </w:p>
    <w:p w14:paraId="6B31F368" w14:textId="77777777" w:rsidR="00F508D8" w:rsidRPr="006256E5" w:rsidRDefault="00F508D8" w:rsidP="0064130C">
      <w:pPr>
        <w:spacing w:before="240" w:after="0" w:line="360" w:lineRule="auto"/>
        <w:jc w:val="both"/>
        <w:rPr>
          <w:rFonts w:ascii="Times New Roman" w:eastAsia="Times New Roman" w:hAnsi="Times New Roman" w:cs="Times New Roman"/>
          <w:sz w:val="24"/>
          <w:szCs w:val="24"/>
          <w:lang w:val="en-CA" w:eastAsia="es-MX"/>
        </w:rPr>
      </w:pPr>
    </w:p>
    <w:p w14:paraId="6CA634ED" w14:textId="02616983" w:rsidR="004E248B" w:rsidRPr="005A17FA" w:rsidRDefault="00FA6CAC" w:rsidP="00804EB2">
      <w:pPr>
        <w:spacing w:after="0" w:line="240" w:lineRule="auto"/>
        <w:jc w:val="right"/>
        <w:rPr>
          <w:rFonts w:eastAsia="Times New Roman" w:cstheme="minorHAnsi"/>
          <w:b/>
          <w:bCs/>
          <w:sz w:val="24"/>
          <w:szCs w:val="24"/>
          <w:lang w:eastAsia="es-MX"/>
        </w:rPr>
      </w:pPr>
      <w:r w:rsidRPr="005A17FA">
        <w:rPr>
          <w:rFonts w:eastAsia="Times New Roman" w:cstheme="minorHAnsi"/>
          <w:b/>
          <w:bCs/>
          <w:sz w:val="24"/>
          <w:szCs w:val="24"/>
          <w:lang w:eastAsia="es-MX"/>
        </w:rPr>
        <w:t xml:space="preserve">Jorge Ariel Ramírez Pérez </w:t>
      </w:r>
    </w:p>
    <w:p w14:paraId="42477812" w14:textId="679CA800" w:rsidR="00804EB2" w:rsidRDefault="00C115B9" w:rsidP="00804EB2">
      <w:pPr>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Universidad Autónoma del Estado de Morelos</w:t>
      </w:r>
      <w:r w:rsidR="005A17FA">
        <w:rPr>
          <w:rFonts w:ascii="Times New Roman" w:eastAsia="Times New Roman" w:hAnsi="Times New Roman" w:cs="Times New Roman"/>
          <w:sz w:val="24"/>
          <w:szCs w:val="24"/>
          <w:lang w:eastAsia="es-MX"/>
        </w:rPr>
        <w:t>, México</w:t>
      </w:r>
    </w:p>
    <w:p w14:paraId="6E198886" w14:textId="55C00332" w:rsidR="00C115B9" w:rsidRPr="005A17FA" w:rsidRDefault="00C115B9" w:rsidP="00804EB2">
      <w:pPr>
        <w:spacing w:after="0" w:line="240" w:lineRule="auto"/>
        <w:jc w:val="right"/>
        <w:rPr>
          <w:rFonts w:eastAsia="Times New Roman" w:cstheme="minorHAnsi"/>
          <w:color w:val="FF0000"/>
          <w:sz w:val="24"/>
          <w:szCs w:val="24"/>
          <w:lang w:eastAsia="es-MX"/>
        </w:rPr>
      </w:pPr>
      <w:r w:rsidRPr="005A17FA">
        <w:rPr>
          <w:rFonts w:eastAsia="Times New Roman" w:cstheme="minorHAnsi"/>
          <w:color w:val="FF0000"/>
          <w:sz w:val="24"/>
          <w:szCs w:val="24"/>
          <w:lang w:eastAsia="es-MX"/>
        </w:rPr>
        <w:t>ariel.ramirez@uaem.mx</w:t>
      </w:r>
    </w:p>
    <w:p w14:paraId="5A0AC600" w14:textId="77777777" w:rsidR="00804EB2" w:rsidRDefault="00804EB2" w:rsidP="00804EB2">
      <w:pPr>
        <w:spacing w:after="0" w:line="240" w:lineRule="auto"/>
        <w:jc w:val="right"/>
        <w:rPr>
          <w:rFonts w:ascii="Times New Roman" w:eastAsia="Times New Roman" w:hAnsi="Times New Roman" w:cs="Times New Roman"/>
          <w:sz w:val="24"/>
          <w:szCs w:val="24"/>
          <w:lang w:eastAsia="es-MX"/>
        </w:rPr>
      </w:pPr>
    </w:p>
    <w:p w14:paraId="53DE5877" w14:textId="3C711A4D" w:rsidR="00FA6CAC" w:rsidRPr="005A17FA" w:rsidRDefault="00FA6CAC" w:rsidP="00804EB2">
      <w:pPr>
        <w:spacing w:after="0" w:line="240" w:lineRule="auto"/>
        <w:jc w:val="right"/>
        <w:rPr>
          <w:rFonts w:eastAsia="Times New Roman" w:cstheme="minorHAnsi"/>
          <w:b/>
          <w:bCs/>
          <w:sz w:val="24"/>
          <w:szCs w:val="24"/>
          <w:lang w:eastAsia="es-MX"/>
        </w:rPr>
      </w:pPr>
      <w:r w:rsidRPr="005A17FA">
        <w:rPr>
          <w:rFonts w:eastAsia="Times New Roman" w:cstheme="minorHAnsi"/>
          <w:b/>
          <w:bCs/>
          <w:sz w:val="24"/>
          <w:szCs w:val="24"/>
          <w:lang w:eastAsia="es-MX"/>
        </w:rPr>
        <w:t>Miriam de la Cruz Reyes</w:t>
      </w:r>
    </w:p>
    <w:p w14:paraId="09301728" w14:textId="5BB164F9" w:rsidR="00804EB2" w:rsidRDefault="00C115B9" w:rsidP="00804EB2">
      <w:pPr>
        <w:spacing w:after="0" w:line="24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Universidad Autónoma del Estado de Morelos</w:t>
      </w:r>
      <w:r w:rsidR="005A17FA">
        <w:rPr>
          <w:rFonts w:ascii="Times New Roman" w:eastAsia="Times New Roman" w:hAnsi="Times New Roman" w:cs="Times New Roman"/>
          <w:sz w:val="24"/>
          <w:szCs w:val="24"/>
          <w:lang w:eastAsia="es-MX"/>
        </w:rPr>
        <w:t>, México</w:t>
      </w:r>
    </w:p>
    <w:p w14:paraId="7BB39B06" w14:textId="12E57E6F" w:rsidR="00C115B9" w:rsidRPr="005A17FA" w:rsidRDefault="00C115B9" w:rsidP="00804EB2">
      <w:pPr>
        <w:spacing w:after="0" w:line="240" w:lineRule="auto"/>
        <w:jc w:val="right"/>
        <w:rPr>
          <w:rFonts w:eastAsia="Times New Roman" w:cstheme="minorHAnsi"/>
          <w:color w:val="FF0000"/>
          <w:sz w:val="24"/>
          <w:szCs w:val="24"/>
          <w:lang w:eastAsia="es-MX"/>
        </w:rPr>
      </w:pPr>
      <w:r>
        <w:rPr>
          <w:rFonts w:ascii="Times New Roman" w:eastAsia="Times New Roman" w:hAnsi="Times New Roman" w:cs="Times New Roman"/>
          <w:sz w:val="24"/>
          <w:szCs w:val="24"/>
          <w:lang w:eastAsia="es-MX"/>
        </w:rPr>
        <w:t xml:space="preserve"> </w:t>
      </w:r>
      <w:r w:rsidRPr="005A17FA">
        <w:rPr>
          <w:rFonts w:eastAsia="Times New Roman" w:cstheme="minorHAnsi"/>
          <w:color w:val="FF0000"/>
          <w:sz w:val="24"/>
          <w:szCs w:val="24"/>
          <w:lang w:eastAsia="es-MX"/>
        </w:rPr>
        <w:t>miriam.cruz@uaem.mx</w:t>
      </w:r>
    </w:p>
    <w:p w14:paraId="6CDBE105" w14:textId="77777777" w:rsidR="005A17FA" w:rsidRDefault="005A17FA" w:rsidP="00F508D8">
      <w:pPr>
        <w:spacing w:after="0" w:line="360" w:lineRule="auto"/>
        <w:jc w:val="both"/>
        <w:rPr>
          <w:rFonts w:ascii="Times New Roman" w:eastAsia="Times New Roman" w:hAnsi="Times New Roman" w:cs="Times New Roman"/>
          <w:b/>
          <w:bCs/>
          <w:sz w:val="28"/>
          <w:szCs w:val="28"/>
          <w:lang w:eastAsia="es-MX"/>
        </w:rPr>
      </w:pPr>
    </w:p>
    <w:p w14:paraId="673BC9A5" w14:textId="4B96A244" w:rsidR="00C115B9" w:rsidRPr="005A17FA" w:rsidRDefault="00F26D94" w:rsidP="00F508D8">
      <w:pPr>
        <w:spacing w:after="0" w:line="360" w:lineRule="auto"/>
        <w:jc w:val="both"/>
        <w:rPr>
          <w:rFonts w:eastAsia="Times New Roman" w:cstheme="minorHAnsi"/>
          <w:b/>
          <w:bCs/>
          <w:sz w:val="28"/>
          <w:szCs w:val="28"/>
          <w:lang w:eastAsia="es-MX"/>
        </w:rPr>
      </w:pPr>
      <w:r w:rsidRPr="005A17FA">
        <w:rPr>
          <w:rFonts w:eastAsia="Times New Roman" w:cstheme="minorHAnsi"/>
          <w:b/>
          <w:bCs/>
          <w:sz w:val="28"/>
          <w:szCs w:val="28"/>
          <w:lang w:eastAsia="es-MX"/>
        </w:rPr>
        <w:t>Resumen</w:t>
      </w:r>
    </w:p>
    <w:p w14:paraId="2F7E4A75" w14:textId="28C348B7" w:rsidR="0088548A" w:rsidRDefault="000C682A" w:rsidP="00F508D8">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 base en la teoría de los capitales de Bourdieu, se busc</w:t>
      </w:r>
      <w:r w:rsidR="001E2E02">
        <w:rPr>
          <w:rFonts w:ascii="Times New Roman" w:eastAsia="Times New Roman" w:hAnsi="Times New Roman" w:cs="Times New Roman"/>
          <w:sz w:val="24"/>
          <w:szCs w:val="24"/>
          <w:lang w:eastAsia="es-MX"/>
        </w:rPr>
        <w:t>ó</w:t>
      </w:r>
      <w:r>
        <w:rPr>
          <w:rFonts w:ascii="Times New Roman" w:eastAsia="Times New Roman" w:hAnsi="Times New Roman" w:cs="Times New Roman"/>
          <w:sz w:val="24"/>
          <w:szCs w:val="24"/>
          <w:lang w:eastAsia="es-MX"/>
        </w:rPr>
        <w:t xml:space="preserve"> entender</w:t>
      </w:r>
      <w:r w:rsidR="00123F20">
        <w:rPr>
          <w:rFonts w:ascii="Times New Roman" w:eastAsia="Times New Roman" w:hAnsi="Times New Roman" w:cs="Times New Roman"/>
          <w:sz w:val="24"/>
          <w:szCs w:val="24"/>
          <w:lang w:eastAsia="es-MX"/>
        </w:rPr>
        <w:t xml:space="preserve"> el impacto de la migración de retorno en la asistencia escolar de los jóvenes</w:t>
      </w:r>
      <w:r w:rsidR="00353F65">
        <w:rPr>
          <w:rFonts w:ascii="Times New Roman" w:eastAsia="Times New Roman" w:hAnsi="Times New Roman" w:cs="Times New Roman"/>
          <w:sz w:val="24"/>
          <w:szCs w:val="24"/>
          <w:lang w:eastAsia="es-MX"/>
        </w:rPr>
        <w:t>. Los estudios de migración de retorno han mostrado que ésta es escasamente estudiada y poco comprendid</w:t>
      </w:r>
      <w:r w:rsidR="00CE5069">
        <w:rPr>
          <w:rFonts w:ascii="Times New Roman" w:eastAsia="Times New Roman" w:hAnsi="Times New Roman" w:cs="Times New Roman"/>
          <w:sz w:val="24"/>
          <w:szCs w:val="24"/>
          <w:lang w:eastAsia="es-MX"/>
        </w:rPr>
        <w:t xml:space="preserve">a, dado que cambió el patrón migratorio a partir de la recesión económica en Estados Unidos. Haciendo uso de los censos de población y vivienda de 2000, 2010, y la encuesta intercensal, de INEGI, </w:t>
      </w:r>
      <w:r w:rsidR="00414059">
        <w:rPr>
          <w:rFonts w:ascii="Times New Roman" w:eastAsia="Times New Roman" w:hAnsi="Times New Roman" w:cs="Times New Roman"/>
          <w:sz w:val="24"/>
          <w:szCs w:val="24"/>
          <w:lang w:eastAsia="es-MX"/>
        </w:rPr>
        <w:t>se muestra que los retornados son un grupo heterogéneo</w:t>
      </w:r>
      <w:r w:rsidR="00685761">
        <w:rPr>
          <w:rFonts w:ascii="Times New Roman" w:eastAsia="Times New Roman" w:hAnsi="Times New Roman" w:cs="Times New Roman"/>
          <w:sz w:val="24"/>
          <w:szCs w:val="24"/>
          <w:lang w:eastAsia="es-MX"/>
        </w:rPr>
        <w:t xml:space="preserve">, donde algunos tienen condiciones económicas y de capital cultural para lograr que sus hijos asistan a la escuela. </w:t>
      </w:r>
      <w:r w:rsidR="003424F2">
        <w:rPr>
          <w:rFonts w:ascii="Times New Roman" w:eastAsia="Times New Roman" w:hAnsi="Times New Roman" w:cs="Times New Roman"/>
          <w:sz w:val="24"/>
          <w:szCs w:val="24"/>
          <w:lang w:eastAsia="es-MX"/>
        </w:rPr>
        <w:t xml:space="preserve">La migración internacional ha generado desigualdades, que </w:t>
      </w:r>
      <w:r w:rsidR="0088548A">
        <w:rPr>
          <w:rFonts w:ascii="Times New Roman" w:eastAsia="Times New Roman" w:hAnsi="Times New Roman" w:cs="Times New Roman"/>
          <w:sz w:val="24"/>
          <w:szCs w:val="24"/>
          <w:lang w:eastAsia="es-MX"/>
        </w:rPr>
        <w:t>se expresan en la asistencia escolar de los hijos de retornados.</w:t>
      </w:r>
    </w:p>
    <w:p w14:paraId="3FC476BC" w14:textId="37657260" w:rsidR="0088548A" w:rsidRDefault="0088548A" w:rsidP="00F508D8">
      <w:pPr>
        <w:spacing w:after="0" w:line="360" w:lineRule="auto"/>
        <w:jc w:val="both"/>
        <w:rPr>
          <w:rFonts w:ascii="Times New Roman" w:eastAsia="Times New Roman" w:hAnsi="Times New Roman" w:cs="Times New Roman"/>
          <w:sz w:val="24"/>
          <w:szCs w:val="24"/>
          <w:lang w:eastAsia="es-MX"/>
        </w:rPr>
      </w:pPr>
      <w:r w:rsidRPr="005A17FA">
        <w:rPr>
          <w:rFonts w:eastAsia="Times New Roman" w:cstheme="minorHAnsi"/>
          <w:b/>
          <w:bCs/>
          <w:sz w:val="28"/>
          <w:szCs w:val="28"/>
          <w:lang w:eastAsia="es-MX"/>
        </w:rPr>
        <w:t>Palabras clave:</w:t>
      </w:r>
      <w:r>
        <w:rPr>
          <w:rFonts w:ascii="Times New Roman" w:eastAsia="Times New Roman" w:hAnsi="Times New Roman" w:cs="Times New Roman"/>
          <w:sz w:val="24"/>
          <w:szCs w:val="24"/>
          <w:lang w:eastAsia="es-MX"/>
        </w:rPr>
        <w:t xml:space="preserve"> </w:t>
      </w:r>
      <w:r w:rsidR="007228AD">
        <w:rPr>
          <w:rFonts w:ascii="Times New Roman" w:eastAsia="Times New Roman" w:hAnsi="Times New Roman" w:cs="Times New Roman"/>
          <w:sz w:val="24"/>
          <w:szCs w:val="24"/>
          <w:lang w:eastAsia="es-MX"/>
        </w:rPr>
        <w:t>Migración internacional, migración de retorno</w:t>
      </w:r>
      <w:r w:rsidR="007B72F4">
        <w:rPr>
          <w:rFonts w:ascii="Times New Roman" w:eastAsia="Times New Roman" w:hAnsi="Times New Roman" w:cs="Times New Roman"/>
          <w:sz w:val="24"/>
          <w:szCs w:val="24"/>
          <w:lang w:eastAsia="es-MX"/>
        </w:rPr>
        <w:t>, capital cultural, capital social, jóvenes.</w:t>
      </w:r>
    </w:p>
    <w:p w14:paraId="49E19628" w14:textId="6E4A48BB" w:rsidR="005A17FA" w:rsidRDefault="005A17FA" w:rsidP="00F508D8">
      <w:pPr>
        <w:spacing w:after="0" w:line="360" w:lineRule="auto"/>
        <w:jc w:val="both"/>
        <w:rPr>
          <w:rFonts w:ascii="Times New Roman" w:eastAsia="Times New Roman" w:hAnsi="Times New Roman" w:cs="Times New Roman"/>
          <w:sz w:val="24"/>
          <w:szCs w:val="24"/>
          <w:lang w:eastAsia="es-MX"/>
        </w:rPr>
      </w:pPr>
    </w:p>
    <w:p w14:paraId="32D523B9" w14:textId="35C8385D" w:rsidR="005A17FA" w:rsidRDefault="005A17FA" w:rsidP="00F508D8">
      <w:pPr>
        <w:spacing w:after="0" w:line="360" w:lineRule="auto"/>
        <w:jc w:val="both"/>
        <w:rPr>
          <w:rFonts w:ascii="Times New Roman" w:eastAsia="Times New Roman" w:hAnsi="Times New Roman" w:cs="Times New Roman"/>
          <w:sz w:val="24"/>
          <w:szCs w:val="24"/>
          <w:lang w:eastAsia="es-MX"/>
        </w:rPr>
      </w:pPr>
    </w:p>
    <w:p w14:paraId="5D271E8D" w14:textId="6F02F577" w:rsidR="005A17FA" w:rsidRDefault="005A17FA" w:rsidP="00F508D8">
      <w:pPr>
        <w:spacing w:after="0" w:line="360" w:lineRule="auto"/>
        <w:jc w:val="both"/>
        <w:rPr>
          <w:rFonts w:ascii="Times New Roman" w:eastAsia="Times New Roman" w:hAnsi="Times New Roman" w:cs="Times New Roman"/>
          <w:sz w:val="24"/>
          <w:szCs w:val="24"/>
          <w:lang w:eastAsia="es-MX"/>
        </w:rPr>
      </w:pPr>
    </w:p>
    <w:p w14:paraId="5F8FBE14" w14:textId="287BFC2E" w:rsidR="005A17FA" w:rsidRDefault="005A17FA" w:rsidP="00F508D8">
      <w:pPr>
        <w:spacing w:after="0" w:line="360" w:lineRule="auto"/>
        <w:jc w:val="both"/>
        <w:rPr>
          <w:rFonts w:ascii="Times New Roman" w:eastAsia="Times New Roman" w:hAnsi="Times New Roman" w:cs="Times New Roman"/>
          <w:sz w:val="24"/>
          <w:szCs w:val="24"/>
          <w:lang w:eastAsia="es-MX"/>
        </w:rPr>
      </w:pPr>
    </w:p>
    <w:p w14:paraId="37862E4E" w14:textId="77777777" w:rsidR="005A17FA" w:rsidRDefault="005A17FA" w:rsidP="00F508D8">
      <w:pPr>
        <w:spacing w:after="0" w:line="360" w:lineRule="auto"/>
        <w:jc w:val="both"/>
        <w:rPr>
          <w:rFonts w:ascii="Times New Roman" w:eastAsia="Times New Roman" w:hAnsi="Times New Roman" w:cs="Times New Roman"/>
          <w:sz w:val="24"/>
          <w:szCs w:val="24"/>
          <w:lang w:eastAsia="es-MX"/>
        </w:rPr>
      </w:pPr>
    </w:p>
    <w:p w14:paraId="6A7A1DFB" w14:textId="77777777" w:rsidR="005A17FA" w:rsidRDefault="005A17FA" w:rsidP="00F508D8">
      <w:pPr>
        <w:spacing w:after="0" w:line="360" w:lineRule="auto"/>
        <w:jc w:val="both"/>
        <w:rPr>
          <w:rFonts w:ascii="Times New Roman" w:eastAsia="Times New Roman" w:hAnsi="Times New Roman" w:cs="Times New Roman"/>
          <w:sz w:val="24"/>
          <w:szCs w:val="24"/>
          <w:lang w:eastAsia="es-MX"/>
        </w:rPr>
      </w:pPr>
    </w:p>
    <w:p w14:paraId="05A53994" w14:textId="6128AF63" w:rsidR="00D65A47" w:rsidRPr="005A17FA" w:rsidRDefault="00D65A47" w:rsidP="00D65A47">
      <w:pPr>
        <w:spacing w:after="0" w:line="360" w:lineRule="auto"/>
        <w:jc w:val="both"/>
        <w:rPr>
          <w:rFonts w:eastAsia="Times New Roman" w:cstheme="minorHAnsi"/>
          <w:b/>
          <w:bCs/>
          <w:sz w:val="28"/>
          <w:szCs w:val="28"/>
          <w:lang w:eastAsia="es-MX"/>
        </w:rPr>
      </w:pPr>
      <w:r w:rsidRPr="005A17FA">
        <w:rPr>
          <w:rFonts w:eastAsia="Times New Roman" w:cstheme="minorHAnsi"/>
          <w:b/>
          <w:bCs/>
          <w:sz w:val="28"/>
          <w:szCs w:val="28"/>
          <w:lang w:eastAsia="es-MX"/>
        </w:rPr>
        <w:lastRenderedPageBreak/>
        <w:t>Abstract</w:t>
      </w:r>
    </w:p>
    <w:p w14:paraId="2E9EA84D" w14:textId="7594B5D8" w:rsidR="00D65A47" w:rsidRPr="00D65A47" w:rsidRDefault="00D65A47" w:rsidP="00D65A47">
      <w:pPr>
        <w:spacing w:after="0" w:line="360" w:lineRule="auto"/>
        <w:jc w:val="both"/>
        <w:rPr>
          <w:rFonts w:ascii="Times New Roman" w:eastAsia="Times New Roman" w:hAnsi="Times New Roman" w:cs="Times New Roman"/>
          <w:sz w:val="24"/>
          <w:szCs w:val="24"/>
          <w:lang w:val="en-CA" w:eastAsia="es-MX"/>
        </w:rPr>
      </w:pPr>
      <w:r w:rsidRPr="00D65A47">
        <w:rPr>
          <w:rFonts w:ascii="Times New Roman" w:eastAsia="Times New Roman" w:hAnsi="Times New Roman" w:cs="Times New Roman"/>
          <w:sz w:val="24"/>
          <w:szCs w:val="24"/>
          <w:lang w:val="en-CA" w:eastAsia="es-MX"/>
        </w:rPr>
        <w:t xml:space="preserve">Based on Bourdieu's theory of capitals, we sought to understand the impact of return migration on young people's school attendance. Studies of return migration have shown that </w:t>
      </w:r>
      <w:r w:rsidR="00480032">
        <w:rPr>
          <w:rFonts w:ascii="Times New Roman" w:eastAsia="Times New Roman" w:hAnsi="Times New Roman" w:cs="Times New Roman"/>
          <w:sz w:val="24"/>
          <w:szCs w:val="24"/>
          <w:lang w:val="en-CA" w:eastAsia="es-MX"/>
        </w:rPr>
        <w:t>return migration</w:t>
      </w:r>
      <w:r w:rsidRPr="00D65A47">
        <w:rPr>
          <w:rFonts w:ascii="Times New Roman" w:eastAsia="Times New Roman" w:hAnsi="Times New Roman" w:cs="Times New Roman"/>
          <w:sz w:val="24"/>
          <w:szCs w:val="24"/>
          <w:lang w:val="en-CA" w:eastAsia="es-MX"/>
        </w:rPr>
        <w:t xml:space="preserve"> is scarcely studied and little understood</w:t>
      </w:r>
      <w:r w:rsidR="00E917D7">
        <w:rPr>
          <w:rFonts w:ascii="Times New Roman" w:eastAsia="Times New Roman" w:hAnsi="Times New Roman" w:cs="Times New Roman"/>
          <w:sz w:val="24"/>
          <w:szCs w:val="24"/>
          <w:lang w:val="en-CA" w:eastAsia="es-MX"/>
        </w:rPr>
        <w:t>, g</w:t>
      </w:r>
      <w:r w:rsidRPr="00D65A47">
        <w:rPr>
          <w:rFonts w:ascii="Times New Roman" w:eastAsia="Times New Roman" w:hAnsi="Times New Roman" w:cs="Times New Roman"/>
          <w:sz w:val="24"/>
          <w:szCs w:val="24"/>
          <w:lang w:val="en-CA" w:eastAsia="es-MX"/>
        </w:rPr>
        <w:t>iven that the migratory pattern changed since the economic recession in the United States. Using the population and housing censuses of 2000, 2010, and the intercensal survey, of INEGI, it is shown that the returnees are a heterogeneous group, where some have economic and cultural capital conditions to ensure that their children attend school . International migration has generated inequalities, which are expressed in the school attendance of the children of returnees.</w:t>
      </w:r>
    </w:p>
    <w:p w14:paraId="6AD23F3C" w14:textId="31AB25A7" w:rsidR="00D65A47" w:rsidRDefault="00D65A47" w:rsidP="00D65A47">
      <w:pPr>
        <w:spacing w:after="0" w:line="360" w:lineRule="auto"/>
        <w:jc w:val="both"/>
        <w:rPr>
          <w:rFonts w:ascii="Times New Roman" w:eastAsia="Times New Roman" w:hAnsi="Times New Roman" w:cs="Times New Roman"/>
          <w:sz w:val="24"/>
          <w:szCs w:val="24"/>
          <w:lang w:val="en-CA" w:eastAsia="es-MX"/>
        </w:rPr>
      </w:pPr>
      <w:r w:rsidRPr="005A17FA">
        <w:rPr>
          <w:rFonts w:eastAsia="Times New Roman" w:cstheme="minorHAnsi"/>
          <w:b/>
          <w:bCs/>
          <w:sz w:val="28"/>
          <w:szCs w:val="28"/>
          <w:lang w:eastAsia="es-MX"/>
        </w:rPr>
        <w:t>Keywords:</w:t>
      </w:r>
      <w:r w:rsidRPr="00D65A47">
        <w:rPr>
          <w:rFonts w:ascii="Times New Roman" w:eastAsia="Times New Roman" w:hAnsi="Times New Roman" w:cs="Times New Roman"/>
          <w:sz w:val="24"/>
          <w:szCs w:val="24"/>
          <w:lang w:val="en-CA" w:eastAsia="es-MX"/>
        </w:rPr>
        <w:t xml:space="preserve"> International migration, return migration, cultural capital, social capital, youth.</w:t>
      </w:r>
    </w:p>
    <w:p w14:paraId="3B13544B" w14:textId="7AFCBD7D" w:rsidR="005A17FA" w:rsidRPr="00DA1643" w:rsidRDefault="005A17FA" w:rsidP="005A17FA">
      <w:pPr>
        <w:pStyle w:val="HTMLconformatoprevio"/>
        <w:shd w:val="clear" w:color="auto" w:fill="FFFFFF"/>
        <w:jc w:val="both"/>
        <w:rPr>
          <w:rFonts w:ascii="Times New Roman" w:hAnsi="Times New Roman"/>
          <w:color w:val="000000"/>
          <w:sz w:val="24"/>
          <w:szCs w:val="24"/>
        </w:rPr>
      </w:pPr>
      <w:r w:rsidRPr="00DA1643">
        <w:rPr>
          <w:rFonts w:ascii="Times New Roman" w:hAnsi="Times New Roman"/>
          <w:b/>
          <w:color w:val="000000"/>
          <w:sz w:val="24"/>
          <w:szCs w:val="24"/>
        </w:rPr>
        <w:t>Fecha Recepción:</w:t>
      </w:r>
      <w:r w:rsidRPr="00DA1643">
        <w:rPr>
          <w:rFonts w:ascii="Times New Roman" w:hAnsi="Times New Roman"/>
          <w:color w:val="000000"/>
          <w:sz w:val="24"/>
          <w:szCs w:val="24"/>
        </w:rPr>
        <w:t xml:space="preserve"> </w:t>
      </w:r>
      <w:proofErr w:type="gramStart"/>
      <w:r>
        <w:rPr>
          <w:rFonts w:ascii="Times New Roman" w:hAnsi="Times New Roman"/>
          <w:color w:val="000000"/>
          <w:sz w:val="24"/>
          <w:szCs w:val="24"/>
        </w:rPr>
        <w:t>Diciembre</w:t>
      </w:r>
      <w:proofErr w:type="gramEnd"/>
      <w:r>
        <w:rPr>
          <w:rFonts w:ascii="Times New Roman" w:hAnsi="Times New Roman"/>
          <w:color w:val="000000"/>
          <w:sz w:val="24"/>
          <w:szCs w:val="24"/>
        </w:rPr>
        <w:t xml:space="preserve"> 2019</w:t>
      </w:r>
      <w:r w:rsidRPr="00DA1643">
        <w:rPr>
          <w:rFonts w:ascii="Times New Roman" w:hAnsi="Times New Roman"/>
          <w:color w:val="000000"/>
          <w:sz w:val="24"/>
          <w:szCs w:val="24"/>
        </w:rPr>
        <w:t xml:space="preserve">                               </w:t>
      </w:r>
      <w:r w:rsidRPr="00DA1643">
        <w:rPr>
          <w:rFonts w:ascii="Times New Roman" w:hAnsi="Times New Roman"/>
          <w:b/>
          <w:color w:val="000000"/>
          <w:sz w:val="24"/>
          <w:szCs w:val="24"/>
        </w:rPr>
        <w:t>Fecha Aceptación:</w:t>
      </w:r>
      <w:r w:rsidRPr="00DA1643">
        <w:rPr>
          <w:rFonts w:ascii="Times New Roman" w:hAnsi="Times New Roman"/>
          <w:color w:val="000000"/>
          <w:sz w:val="24"/>
          <w:szCs w:val="24"/>
        </w:rPr>
        <w:t xml:space="preserve"> Julio 2020</w:t>
      </w:r>
    </w:p>
    <w:p w14:paraId="0DD03DCE" w14:textId="6F95A25A" w:rsidR="005A17FA" w:rsidRPr="00D65A47" w:rsidRDefault="005A17FA" w:rsidP="005A17FA">
      <w:pPr>
        <w:spacing w:after="0" w:line="360" w:lineRule="auto"/>
        <w:jc w:val="both"/>
        <w:rPr>
          <w:rFonts w:ascii="Times New Roman" w:eastAsia="Times New Roman" w:hAnsi="Times New Roman" w:cs="Times New Roman"/>
          <w:sz w:val="24"/>
          <w:szCs w:val="24"/>
          <w:lang w:val="en-CA" w:eastAsia="es-MX"/>
        </w:rPr>
      </w:pPr>
      <w:r>
        <w:rPr>
          <w:noProof/>
        </w:rPr>
        <w:pict w14:anchorId="459D3552">
          <v:rect id="_x0000_i1025" alt="" style="width:441.9pt;height:.05pt;mso-width-percent:0;mso-height-percent:0;mso-width-percent:0;mso-height-percent:0" o:hralign="center" o:hrstd="t" o:hr="t" fillcolor="#a0a0a0" stroked="f"/>
        </w:pict>
      </w:r>
    </w:p>
    <w:p w14:paraId="13F4C0D9" w14:textId="42376B44" w:rsidR="00FA6CAC" w:rsidRPr="009825B3" w:rsidRDefault="00264946" w:rsidP="005A17FA">
      <w:pPr>
        <w:tabs>
          <w:tab w:val="left" w:pos="1842"/>
        </w:tabs>
        <w:spacing w:after="0" w:line="360" w:lineRule="auto"/>
        <w:jc w:val="center"/>
        <w:rPr>
          <w:rFonts w:ascii="Times New Roman" w:eastAsia="Times New Roman" w:hAnsi="Times New Roman" w:cs="Times New Roman"/>
          <w:sz w:val="32"/>
          <w:szCs w:val="32"/>
          <w:lang w:eastAsia="es-MX"/>
        </w:rPr>
      </w:pPr>
      <w:r w:rsidRPr="009825B3">
        <w:rPr>
          <w:rFonts w:ascii="Times New Roman" w:eastAsia="Times New Roman" w:hAnsi="Times New Roman" w:cs="Times New Roman"/>
          <w:b/>
          <w:bCs/>
          <w:color w:val="000000"/>
          <w:sz w:val="32"/>
          <w:szCs w:val="32"/>
          <w:lang w:eastAsia="es-MX"/>
        </w:rPr>
        <w:t>Introducción</w:t>
      </w:r>
    </w:p>
    <w:p w14:paraId="4F504E65" w14:textId="1902CEF6" w:rsidR="00FA6CAC" w:rsidRPr="00FA6CAC" w:rsidRDefault="00FA6CAC" w:rsidP="005A17FA">
      <w:pPr>
        <w:spacing w:after="0" w:line="360" w:lineRule="auto"/>
        <w:ind w:firstLine="709"/>
        <w:jc w:val="both"/>
        <w:rPr>
          <w:rFonts w:ascii="Times New Roman" w:eastAsia="Times New Roman" w:hAnsi="Times New Roman" w:cs="Times New Roman"/>
          <w:sz w:val="24"/>
          <w:szCs w:val="24"/>
          <w:lang w:eastAsia="es-MX"/>
        </w:rPr>
      </w:pPr>
      <w:r w:rsidRPr="00FA6CAC">
        <w:rPr>
          <w:rFonts w:ascii="Times New Roman" w:eastAsia="Times New Roman" w:hAnsi="Times New Roman" w:cs="Times New Roman"/>
          <w:color w:val="000000"/>
          <w:sz w:val="24"/>
          <w:szCs w:val="24"/>
          <w:lang w:eastAsia="es-MX"/>
        </w:rPr>
        <w:t>El objetivo d</w:t>
      </w:r>
      <w:r w:rsidR="00C220D0">
        <w:rPr>
          <w:rFonts w:ascii="Times New Roman" w:eastAsia="Times New Roman" w:hAnsi="Times New Roman" w:cs="Times New Roman"/>
          <w:color w:val="000000"/>
          <w:sz w:val="24"/>
          <w:szCs w:val="24"/>
          <w:lang w:eastAsia="es-MX"/>
        </w:rPr>
        <w:t>el</w:t>
      </w:r>
      <w:r>
        <w:rPr>
          <w:rFonts w:ascii="Times New Roman" w:eastAsia="Times New Roman" w:hAnsi="Times New Roman" w:cs="Times New Roman"/>
          <w:color w:val="000000"/>
          <w:sz w:val="24"/>
          <w:szCs w:val="24"/>
          <w:lang w:eastAsia="es-MX"/>
        </w:rPr>
        <w:t xml:space="preserve"> </w:t>
      </w:r>
      <w:r w:rsidR="00C220D0">
        <w:rPr>
          <w:rFonts w:ascii="Times New Roman" w:eastAsia="Times New Roman" w:hAnsi="Times New Roman" w:cs="Times New Roman"/>
          <w:color w:val="000000"/>
          <w:sz w:val="24"/>
          <w:szCs w:val="24"/>
          <w:lang w:eastAsia="es-MX"/>
        </w:rPr>
        <w:t>documento</w:t>
      </w:r>
      <w:r w:rsidRPr="00FA6CAC">
        <w:rPr>
          <w:rFonts w:ascii="Times New Roman" w:eastAsia="Times New Roman" w:hAnsi="Times New Roman" w:cs="Times New Roman"/>
          <w:color w:val="000000"/>
          <w:sz w:val="24"/>
          <w:szCs w:val="24"/>
          <w:lang w:eastAsia="es-MX"/>
        </w:rPr>
        <w:t xml:space="preserve"> es ofrecer evidencia empírica que permita pensar críticamente el impacto que tiene la migración de retorno del grueso de mexicanos retornados. Los resultados de la investigación apuntan a discutir la carencia de políticas de retorno para el grueso de quienes regresan en una situación de retorno forzado, en un contexto económico y político global que discrimina y criminaliza al grueso de los migrantes internacionales y el impacto que esto tiene en los resultados educativos.  </w:t>
      </w:r>
    </w:p>
    <w:p w14:paraId="73189860" w14:textId="6D2721AF" w:rsidR="00FA6CAC" w:rsidRDefault="00FA6CAC" w:rsidP="005A17FA">
      <w:pPr>
        <w:spacing w:after="0" w:line="360" w:lineRule="auto"/>
        <w:ind w:firstLine="709"/>
        <w:jc w:val="both"/>
        <w:rPr>
          <w:rFonts w:ascii="Times New Roman" w:eastAsia="Times New Roman" w:hAnsi="Times New Roman" w:cs="Times New Roman"/>
          <w:color w:val="000000"/>
          <w:sz w:val="24"/>
          <w:szCs w:val="24"/>
          <w:lang w:eastAsia="es-MX"/>
        </w:rPr>
      </w:pPr>
      <w:r w:rsidRPr="00FA6CAC">
        <w:rPr>
          <w:rFonts w:ascii="Times New Roman" w:eastAsia="Times New Roman" w:hAnsi="Times New Roman" w:cs="Times New Roman"/>
          <w:color w:val="000000"/>
          <w:sz w:val="24"/>
          <w:szCs w:val="24"/>
          <w:lang w:eastAsia="es-MX"/>
        </w:rPr>
        <w:t> Para ver el impacto de los migrantes de retorno a México, en indicadores de asistencia educativa, analizamos los microdatos de los Censos Generales de Población y Vivienda 2000 y 2010, así como la Encuesta Intercensal 2015, levantadas por el Instituto Nacional de Estadística Geografía en Informática. En ellas construimos las variables de capital económico, capital social y capital cultural de los hogares con hijos que asisten y no asisten a la escuela, y jefaturados por migrantes de retorno y nunca migrantes. A través de análisis bivariados y de análisis de varianza, se muestra cómo ha cambiado la asistencia escolar de los hogares jefaturados por retornados y los jefaturados por los nunca migrantes; el análisis en el tiempo permite evaluar el papel que las políticas de deportación de los países receptores de migrantes internacionales está teniendo en el logro educativo de los jóvenes hijos de migrantes de retorno.</w:t>
      </w:r>
    </w:p>
    <w:p w14:paraId="5CA51011" w14:textId="51C9AD54" w:rsidR="00FA6CAC" w:rsidRDefault="00FA6CAC" w:rsidP="005A17FA">
      <w:pPr>
        <w:spacing w:after="0" w:line="360" w:lineRule="auto"/>
        <w:ind w:firstLine="708"/>
        <w:jc w:val="both"/>
        <w:rPr>
          <w:rFonts w:ascii="Times New Roman" w:eastAsia="Times New Roman" w:hAnsi="Times New Roman" w:cs="Times New Roman"/>
          <w:color w:val="000000"/>
          <w:sz w:val="24"/>
          <w:szCs w:val="24"/>
          <w:lang w:eastAsia="es-MX"/>
        </w:rPr>
      </w:pPr>
      <w:r w:rsidRPr="00FA6CAC">
        <w:rPr>
          <w:rFonts w:ascii="Times New Roman" w:eastAsia="Times New Roman" w:hAnsi="Times New Roman" w:cs="Times New Roman"/>
          <w:color w:val="000000"/>
          <w:sz w:val="24"/>
          <w:szCs w:val="24"/>
          <w:lang w:eastAsia="es-MX"/>
        </w:rPr>
        <w:t>Los</w:t>
      </w:r>
      <w:r>
        <w:rPr>
          <w:rFonts w:ascii="Times New Roman" w:eastAsia="Times New Roman" w:hAnsi="Times New Roman" w:cs="Times New Roman"/>
          <w:color w:val="000000"/>
          <w:sz w:val="24"/>
          <w:szCs w:val="24"/>
          <w:lang w:eastAsia="es-MX"/>
        </w:rPr>
        <w:t xml:space="preserve"> resultados indican que los</w:t>
      </w:r>
      <w:r w:rsidRPr="00FA6CAC">
        <w:rPr>
          <w:rFonts w:ascii="Times New Roman" w:eastAsia="Times New Roman" w:hAnsi="Times New Roman" w:cs="Times New Roman"/>
          <w:color w:val="000000"/>
          <w:sz w:val="24"/>
          <w:szCs w:val="24"/>
          <w:lang w:eastAsia="es-MX"/>
        </w:rPr>
        <w:t xml:space="preserve"> migrantes de retorno, logran acumular capital económico y lo invierten en capital cultural, lo que permite que sus hijos se mantengan dentro del sistema educativo. Los migrantes de retorno cuentan con menos capital social que los </w:t>
      </w:r>
      <w:r w:rsidRPr="00FA6CAC">
        <w:rPr>
          <w:rFonts w:ascii="Times New Roman" w:eastAsia="Times New Roman" w:hAnsi="Times New Roman" w:cs="Times New Roman"/>
          <w:color w:val="000000"/>
          <w:sz w:val="24"/>
          <w:szCs w:val="24"/>
          <w:lang w:eastAsia="es-MX"/>
        </w:rPr>
        <w:lastRenderedPageBreak/>
        <w:t xml:space="preserve">jefes de hogar que nunca migraron, no </w:t>
      </w:r>
      <w:r w:rsidR="00483A39" w:rsidRPr="00FA6CAC">
        <w:rPr>
          <w:rFonts w:ascii="Times New Roman" w:eastAsia="Times New Roman" w:hAnsi="Times New Roman" w:cs="Times New Roman"/>
          <w:color w:val="000000"/>
          <w:sz w:val="24"/>
          <w:szCs w:val="24"/>
          <w:lang w:eastAsia="es-MX"/>
        </w:rPr>
        <w:t>obstante,</w:t>
      </w:r>
      <w:r w:rsidRPr="00FA6CAC">
        <w:rPr>
          <w:rFonts w:ascii="Times New Roman" w:eastAsia="Times New Roman" w:hAnsi="Times New Roman" w:cs="Times New Roman"/>
          <w:color w:val="000000"/>
          <w:sz w:val="24"/>
          <w:szCs w:val="24"/>
          <w:lang w:eastAsia="es-MX"/>
        </w:rPr>
        <w:t xml:space="preserve"> esta carencia, es reemplazada por bienes materiales culturales, que son posibilitados por los mayores ingresos y los deseos de los padres retornados, de que sus hijos continúen estudiando. </w:t>
      </w:r>
    </w:p>
    <w:p w14:paraId="1EF15283" w14:textId="25D8DD78" w:rsidR="00746C04" w:rsidRDefault="00746C04" w:rsidP="005A17FA">
      <w:pPr>
        <w:spacing w:after="24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presente documento se organiza por esta introducción, en seguida se exponen la revisión de la literatura sobre migración internacional y la migración de retorno, para enmarcar el problema de investigación; en un segundo apartado se desarrolla la perspectiva teórica de los capitales de Bourdieu; en un tercer apartado se muestra cómo se operacionalizaron los conceptos, a partir de las bases de datos públicas de los censos generales de población y vivienda de 2000 y 2010, así como la encuesta intercensal de 2015. Posteriormente se analiza la información; </w:t>
      </w:r>
      <w:r w:rsidR="00483A39">
        <w:rPr>
          <w:rFonts w:ascii="Times New Roman" w:eastAsia="Times New Roman" w:hAnsi="Times New Roman" w:cs="Times New Roman"/>
          <w:color w:val="000000"/>
          <w:sz w:val="24"/>
          <w:szCs w:val="24"/>
          <w:lang w:eastAsia="es-MX"/>
        </w:rPr>
        <w:t xml:space="preserve">en un penúltimo apartado se discuten los resultados, con la revisión de la literatura y el marco teórico desarrollado; </w:t>
      </w:r>
      <w:r>
        <w:rPr>
          <w:rFonts w:ascii="Times New Roman" w:eastAsia="Times New Roman" w:hAnsi="Times New Roman" w:cs="Times New Roman"/>
          <w:color w:val="000000"/>
          <w:sz w:val="24"/>
          <w:szCs w:val="24"/>
          <w:lang w:eastAsia="es-MX"/>
        </w:rPr>
        <w:t>y en último lugar en las conclusiones se discute la relevancia del presente documento.</w:t>
      </w:r>
    </w:p>
    <w:p w14:paraId="0BB51033" w14:textId="77777777" w:rsidR="005A17FA" w:rsidRPr="00FA6CAC" w:rsidRDefault="005A17FA" w:rsidP="005A17FA">
      <w:pPr>
        <w:spacing w:after="0" w:line="360" w:lineRule="auto"/>
        <w:ind w:firstLine="708"/>
        <w:jc w:val="both"/>
        <w:rPr>
          <w:rFonts w:ascii="Times New Roman" w:eastAsia="Times New Roman" w:hAnsi="Times New Roman" w:cs="Times New Roman"/>
          <w:sz w:val="24"/>
          <w:szCs w:val="24"/>
          <w:lang w:eastAsia="es-MX"/>
        </w:rPr>
      </w:pPr>
    </w:p>
    <w:p w14:paraId="6AE18A6E" w14:textId="35F59275" w:rsidR="00FA6CAC" w:rsidRPr="009825B3" w:rsidRDefault="00264946" w:rsidP="005A17FA">
      <w:pPr>
        <w:spacing w:after="0" w:line="360" w:lineRule="auto"/>
        <w:jc w:val="center"/>
        <w:rPr>
          <w:rFonts w:ascii="Times New Roman" w:eastAsia="Times New Roman" w:hAnsi="Times New Roman" w:cs="Times New Roman"/>
          <w:b/>
          <w:bCs/>
          <w:sz w:val="28"/>
          <w:szCs w:val="28"/>
          <w:lang w:eastAsia="es-MX"/>
        </w:rPr>
      </w:pPr>
      <w:r w:rsidRPr="009825B3">
        <w:rPr>
          <w:rFonts w:ascii="Times New Roman" w:eastAsia="Times New Roman" w:hAnsi="Times New Roman" w:cs="Times New Roman"/>
          <w:b/>
          <w:bCs/>
          <w:sz w:val="28"/>
          <w:szCs w:val="28"/>
          <w:lang w:eastAsia="es-MX"/>
        </w:rPr>
        <w:t xml:space="preserve">Los estudios </w:t>
      </w:r>
      <w:r w:rsidR="00483A39" w:rsidRPr="009825B3">
        <w:rPr>
          <w:rFonts w:ascii="Times New Roman" w:eastAsia="Times New Roman" w:hAnsi="Times New Roman" w:cs="Times New Roman"/>
          <w:b/>
          <w:bCs/>
          <w:sz w:val="28"/>
          <w:szCs w:val="28"/>
          <w:lang w:eastAsia="es-MX"/>
        </w:rPr>
        <w:t>de migración</w:t>
      </w:r>
      <w:r w:rsidRPr="009825B3">
        <w:rPr>
          <w:rFonts w:ascii="Times New Roman" w:eastAsia="Times New Roman" w:hAnsi="Times New Roman" w:cs="Times New Roman"/>
          <w:b/>
          <w:bCs/>
          <w:sz w:val="28"/>
          <w:szCs w:val="28"/>
          <w:lang w:eastAsia="es-MX"/>
        </w:rPr>
        <w:t xml:space="preserve"> internacional y la migración de retorno</w:t>
      </w:r>
    </w:p>
    <w:p w14:paraId="521F8402" w14:textId="46604EAC"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 xml:space="preserve">Los estudios de migración internacional consideraban que los inmigrantes necesariamente tendían a asimilarse a la sociedad receptora. Aquellos que no lo lograban o no les interesaba, regresaban a sus lugares de origen. El supuesto detrás de esta perspectiva era la identificación de la sociedad con el estado-nación. Así, el estado-nación devenía el contenedor natural de los procesos sociales (Canales y </w:t>
      </w:r>
      <w:proofErr w:type="spellStart"/>
      <w:r w:rsidRPr="00A04EAE">
        <w:rPr>
          <w:rFonts w:ascii="Times New Roman" w:eastAsia="Times New Roman" w:hAnsi="Times New Roman" w:cs="Times New Roman"/>
          <w:sz w:val="24"/>
          <w:szCs w:val="24"/>
          <w:lang w:eastAsia="es-MX"/>
        </w:rPr>
        <w:t>Zlolniski</w:t>
      </w:r>
      <w:proofErr w:type="spellEnd"/>
      <w:r w:rsidRPr="00A04EAE">
        <w:rPr>
          <w:rFonts w:ascii="Times New Roman" w:eastAsia="Times New Roman" w:hAnsi="Times New Roman" w:cs="Times New Roman"/>
          <w:sz w:val="24"/>
          <w:szCs w:val="24"/>
          <w:lang w:eastAsia="es-MX"/>
        </w:rPr>
        <w:t xml:space="preserve">, 2001; </w:t>
      </w:r>
      <w:proofErr w:type="spellStart"/>
      <w:r w:rsidRPr="00A04EAE">
        <w:rPr>
          <w:rFonts w:ascii="Times New Roman" w:eastAsia="Times New Roman" w:hAnsi="Times New Roman" w:cs="Times New Roman"/>
          <w:sz w:val="24"/>
          <w:szCs w:val="24"/>
          <w:lang w:eastAsia="es-MX"/>
        </w:rPr>
        <w:t>Pries</w:t>
      </w:r>
      <w:proofErr w:type="spellEnd"/>
      <w:r w:rsidRPr="00A04EAE">
        <w:rPr>
          <w:rFonts w:ascii="Times New Roman" w:eastAsia="Times New Roman" w:hAnsi="Times New Roman" w:cs="Times New Roman"/>
          <w:sz w:val="24"/>
          <w:szCs w:val="24"/>
          <w:lang w:eastAsia="es-MX"/>
        </w:rPr>
        <w:t>, 2002). El estado-nación definía los referentes de identificación, las diferencias de clase, las relaciones entre grupos, las vías de movilidad, entre otros aspectos de la dinámica social.</w:t>
      </w:r>
    </w:p>
    <w:p w14:paraId="4C0D2FE8" w14:textId="6A423778"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 xml:space="preserve">Las categorías de emigración-inmigración y migración de retorno, eran pertinentes dentro de marcos teóricos sociales que igualaban los sistemas sociales o las sociedades con los estados nacionales (Canales y </w:t>
      </w:r>
      <w:proofErr w:type="spellStart"/>
      <w:r w:rsidRPr="00A04EAE">
        <w:rPr>
          <w:rFonts w:ascii="Times New Roman" w:eastAsia="Times New Roman" w:hAnsi="Times New Roman" w:cs="Times New Roman"/>
          <w:sz w:val="24"/>
          <w:szCs w:val="24"/>
          <w:lang w:eastAsia="es-MX"/>
        </w:rPr>
        <w:t>Zlolniski</w:t>
      </w:r>
      <w:proofErr w:type="spellEnd"/>
      <w:r w:rsidRPr="00A04EAE">
        <w:rPr>
          <w:rFonts w:ascii="Times New Roman" w:eastAsia="Times New Roman" w:hAnsi="Times New Roman" w:cs="Times New Roman"/>
          <w:sz w:val="24"/>
          <w:szCs w:val="24"/>
          <w:lang w:eastAsia="es-MX"/>
        </w:rPr>
        <w:t xml:space="preserve">, 2001; </w:t>
      </w:r>
      <w:proofErr w:type="spellStart"/>
      <w:r w:rsidRPr="00A04EAE">
        <w:rPr>
          <w:rFonts w:ascii="Times New Roman" w:eastAsia="Times New Roman" w:hAnsi="Times New Roman" w:cs="Times New Roman"/>
          <w:sz w:val="24"/>
          <w:szCs w:val="24"/>
          <w:lang w:eastAsia="es-MX"/>
        </w:rPr>
        <w:t>Pries</w:t>
      </w:r>
      <w:proofErr w:type="spellEnd"/>
      <w:r w:rsidRPr="00A04EAE">
        <w:rPr>
          <w:rFonts w:ascii="Times New Roman" w:eastAsia="Times New Roman" w:hAnsi="Times New Roman" w:cs="Times New Roman"/>
          <w:sz w:val="24"/>
          <w:szCs w:val="24"/>
          <w:lang w:eastAsia="es-MX"/>
        </w:rPr>
        <w:t xml:space="preserve"> 2000 y 2002). En realidad, la migración internacional devino objeto de investigación, en tanto que migración internacional, cuando surgieron los estados-nacionales (</w:t>
      </w:r>
      <w:proofErr w:type="spellStart"/>
      <w:r w:rsidRPr="00A04EAE">
        <w:rPr>
          <w:rFonts w:ascii="Times New Roman" w:eastAsia="Times New Roman" w:hAnsi="Times New Roman" w:cs="Times New Roman"/>
          <w:sz w:val="24"/>
          <w:szCs w:val="24"/>
          <w:lang w:eastAsia="es-MX"/>
        </w:rPr>
        <w:t>Glick</w:t>
      </w:r>
      <w:proofErr w:type="spellEnd"/>
      <w:r w:rsidRPr="00A04EAE">
        <w:rPr>
          <w:rFonts w:ascii="Times New Roman" w:eastAsia="Times New Roman" w:hAnsi="Times New Roman" w:cs="Times New Roman"/>
          <w:sz w:val="24"/>
          <w:szCs w:val="24"/>
          <w:lang w:eastAsia="es-MX"/>
        </w:rPr>
        <w:t>-Schiller, 2007); lo que implica que los miembros de un estado-nacional son miembros de una sociedad por haber nacido en un territorio, hablar</w:t>
      </w:r>
      <w:r>
        <w:rPr>
          <w:rFonts w:ascii="Times New Roman" w:eastAsia="Times New Roman" w:hAnsi="Times New Roman" w:cs="Times New Roman"/>
          <w:sz w:val="24"/>
          <w:szCs w:val="24"/>
          <w:lang w:eastAsia="es-MX"/>
        </w:rPr>
        <w:t xml:space="preserve"> </w:t>
      </w:r>
      <w:r w:rsidRPr="00A04EAE">
        <w:rPr>
          <w:rFonts w:ascii="Times New Roman" w:eastAsia="Times New Roman" w:hAnsi="Times New Roman" w:cs="Times New Roman"/>
          <w:sz w:val="24"/>
          <w:szCs w:val="24"/>
          <w:lang w:eastAsia="es-MX"/>
        </w:rPr>
        <w:t>una lengua, compartir normas, valores y sentimientos de orgullo de pertenencia a ese Estado-nacional.</w:t>
      </w:r>
    </w:p>
    <w:p w14:paraId="12C182B3" w14:textId="26674CD5"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 xml:space="preserve">En este contexto, los inmigrantes eran vistos como extraños por los miembros de la sociedad </w:t>
      </w:r>
      <w:r w:rsidR="009C0F66">
        <w:rPr>
          <w:rFonts w:ascii="Times New Roman" w:eastAsia="Times New Roman" w:hAnsi="Times New Roman" w:cs="Times New Roman"/>
          <w:sz w:val="24"/>
          <w:szCs w:val="24"/>
          <w:lang w:eastAsia="es-MX"/>
        </w:rPr>
        <w:t xml:space="preserve">receptora </w:t>
      </w:r>
      <w:r w:rsidRPr="00A04EAE">
        <w:rPr>
          <w:rFonts w:ascii="Times New Roman" w:eastAsia="Times New Roman" w:hAnsi="Times New Roman" w:cs="Times New Roman"/>
          <w:sz w:val="24"/>
          <w:szCs w:val="24"/>
          <w:lang w:eastAsia="es-MX"/>
        </w:rPr>
        <w:t>(</w:t>
      </w:r>
      <w:proofErr w:type="spellStart"/>
      <w:r w:rsidRPr="00A04EAE">
        <w:rPr>
          <w:rFonts w:ascii="Times New Roman" w:eastAsia="Times New Roman" w:hAnsi="Times New Roman" w:cs="Times New Roman"/>
          <w:sz w:val="24"/>
          <w:szCs w:val="24"/>
          <w:lang w:eastAsia="es-MX"/>
        </w:rPr>
        <w:t>Wimmer</w:t>
      </w:r>
      <w:proofErr w:type="spellEnd"/>
      <w:r w:rsidRPr="00A04EAE">
        <w:rPr>
          <w:rFonts w:ascii="Times New Roman" w:eastAsia="Times New Roman" w:hAnsi="Times New Roman" w:cs="Times New Roman"/>
          <w:sz w:val="24"/>
          <w:szCs w:val="24"/>
          <w:lang w:eastAsia="es-MX"/>
        </w:rPr>
        <w:t xml:space="preserve"> y </w:t>
      </w:r>
      <w:proofErr w:type="spellStart"/>
      <w:r w:rsidRPr="00A04EAE">
        <w:rPr>
          <w:rFonts w:ascii="Times New Roman" w:eastAsia="Times New Roman" w:hAnsi="Times New Roman" w:cs="Times New Roman"/>
          <w:sz w:val="24"/>
          <w:szCs w:val="24"/>
          <w:lang w:eastAsia="es-MX"/>
        </w:rPr>
        <w:t>Glick</w:t>
      </w:r>
      <w:proofErr w:type="spellEnd"/>
      <w:r w:rsidRPr="00A04EAE">
        <w:rPr>
          <w:rFonts w:ascii="Times New Roman" w:eastAsia="Times New Roman" w:hAnsi="Times New Roman" w:cs="Times New Roman"/>
          <w:sz w:val="24"/>
          <w:szCs w:val="24"/>
          <w:lang w:eastAsia="es-MX"/>
        </w:rPr>
        <w:t xml:space="preserve"> Schiller, 2004; </w:t>
      </w:r>
      <w:proofErr w:type="spellStart"/>
      <w:r w:rsidRPr="00A04EAE">
        <w:rPr>
          <w:rFonts w:ascii="Times New Roman" w:eastAsia="Times New Roman" w:hAnsi="Times New Roman" w:cs="Times New Roman"/>
          <w:sz w:val="24"/>
          <w:szCs w:val="24"/>
          <w:lang w:eastAsia="es-MX"/>
        </w:rPr>
        <w:t>Castles</w:t>
      </w:r>
      <w:proofErr w:type="spellEnd"/>
      <w:r w:rsidRPr="00A04EAE">
        <w:rPr>
          <w:rFonts w:ascii="Times New Roman" w:eastAsia="Times New Roman" w:hAnsi="Times New Roman" w:cs="Times New Roman"/>
          <w:sz w:val="24"/>
          <w:szCs w:val="24"/>
          <w:lang w:eastAsia="es-MX"/>
        </w:rPr>
        <w:t xml:space="preserve"> y Miller, 2004); y como sujetos de incorporación, por parte de los académicos (García Borrego, 2006). Así, las instituciones de </w:t>
      </w:r>
      <w:r w:rsidRPr="00A04EAE">
        <w:rPr>
          <w:rFonts w:ascii="Times New Roman" w:eastAsia="Times New Roman" w:hAnsi="Times New Roman" w:cs="Times New Roman"/>
          <w:sz w:val="24"/>
          <w:szCs w:val="24"/>
          <w:lang w:eastAsia="es-MX"/>
        </w:rPr>
        <w:lastRenderedPageBreak/>
        <w:t>socialización, que es un modo de decir las instituciones orientadas a transmitir las ideas de identidad nacional, también se orientaban a interiorizar en los inmigrantes y sus descendientes los valores de la identidad nacional de los estados nación de arribo.</w:t>
      </w:r>
    </w:p>
    <w:p w14:paraId="24BFCF1E" w14:textId="54670D72"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 xml:space="preserve">No obstante, la capacidad de persuasión de las instituciones receptoras para la asimilación o incorporación social de los </w:t>
      </w:r>
      <w:r w:rsidR="00483A39" w:rsidRPr="00A04EAE">
        <w:rPr>
          <w:rFonts w:ascii="Times New Roman" w:eastAsia="Times New Roman" w:hAnsi="Times New Roman" w:cs="Times New Roman"/>
          <w:sz w:val="24"/>
          <w:szCs w:val="24"/>
          <w:lang w:eastAsia="es-MX"/>
        </w:rPr>
        <w:t>inmigrantes</w:t>
      </w:r>
      <w:r w:rsidRPr="00A04EAE">
        <w:rPr>
          <w:rFonts w:ascii="Times New Roman" w:eastAsia="Times New Roman" w:hAnsi="Times New Roman" w:cs="Times New Roman"/>
          <w:sz w:val="24"/>
          <w:szCs w:val="24"/>
          <w:lang w:eastAsia="es-MX"/>
        </w:rPr>
        <w:t xml:space="preserve"> nunca fue plena; pues los inmigrantes seguían manteniendo vínculos con sus lugares de origen, por medio de cartas y envío de remesas, como muy bien lo documentaron Thomas y </w:t>
      </w:r>
      <w:proofErr w:type="spellStart"/>
      <w:r w:rsidRPr="00A04EAE">
        <w:rPr>
          <w:rFonts w:ascii="Times New Roman" w:eastAsia="Times New Roman" w:hAnsi="Times New Roman" w:cs="Times New Roman"/>
          <w:sz w:val="24"/>
          <w:szCs w:val="24"/>
          <w:lang w:eastAsia="es-MX"/>
        </w:rPr>
        <w:t>Znaniecki</w:t>
      </w:r>
      <w:proofErr w:type="spellEnd"/>
      <w:r w:rsidRPr="00A04EAE">
        <w:rPr>
          <w:rFonts w:ascii="Times New Roman" w:eastAsia="Times New Roman" w:hAnsi="Times New Roman" w:cs="Times New Roman"/>
          <w:sz w:val="24"/>
          <w:szCs w:val="24"/>
          <w:lang w:eastAsia="es-MX"/>
        </w:rPr>
        <w:t xml:space="preserve"> (1958). Sin embargo, </w:t>
      </w:r>
      <w:r w:rsidR="00483A39" w:rsidRPr="00A04EAE">
        <w:rPr>
          <w:rFonts w:ascii="Times New Roman" w:eastAsia="Times New Roman" w:hAnsi="Times New Roman" w:cs="Times New Roman"/>
          <w:sz w:val="24"/>
          <w:szCs w:val="24"/>
          <w:lang w:eastAsia="es-MX"/>
        </w:rPr>
        <w:t>la lentitud de los medios de comunicación de la época hacía considerablemente</w:t>
      </w:r>
      <w:r w:rsidRPr="00A04EAE">
        <w:rPr>
          <w:rFonts w:ascii="Times New Roman" w:eastAsia="Times New Roman" w:hAnsi="Times New Roman" w:cs="Times New Roman"/>
          <w:sz w:val="24"/>
          <w:szCs w:val="24"/>
          <w:lang w:eastAsia="es-MX"/>
        </w:rPr>
        <w:t xml:space="preserve"> larga la distancia para una comunicación fluida. Y como sabemos a partir de Berger y Luckmann (1976), la comunicación en forma de diálogo cara a cara es fundamental para que los individuos reafirmen su </w:t>
      </w:r>
      <w:proofErr w:type="spellStart"/>
      <w:proofErr w:type="gramStart"/>
      <w:r w:rsidRPr="00A04EAE">
        <w:rPr>
          <w:rFonts w:ascii="Times New Roman" w:eastAsia="Times New Roman" w:hAnsi="Times New Roman" w:cs="Times New Roman"/>
          <w:sz w:val="24"/>
          <w:szCs w:val="24"/>
          <w:lang w:eastAsia="es-MX"/>
        </w:rPr>
        <w:t>auto-identificación</w:t>
      </w:r>
      <w:proofErr w:type="spellEnd"/>
      <w:proofErr w:type="gramEnd"/>
      <w:r w:rsidRPr="00A04EAE">
        <w:rPr>
          <w:rFonts w:ascii="Times New Roman" w:eastAsia="Times New Roman" w:hAnsi="Times New Roman" w:cs="Times New Roman"/>
          <w:sz w:val="24"/>
          <w:szCs w:val="24"/>
          <w:lang w:eastAsia="es-MX"/>
        </w:rPr>
        <w:t xml:space="preserve"> y mantengan la realidad subjetiva que les permite organizar el sentido de sus acciones.</w:t>
      </w:r>
    </w:p>
    <w:p w14:paraId="6D796D50" w14:textId="5CB17129"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 xml:space="preserve">Precisamente, con el desarrollo de los medios de comunicación que han posibilitado el acortamiento de las distancias, los vínculos que mantienen los migrantes con sus lugares de destino tienden a reforzarse, a actualizarse de manera más constante. Al mismo tiempo da lugar al fenómeno de la reproducción social de la migración internacional, lo cual significa que la migración internacional una vez iniciada y sostenida por medio de las redes sociales de los migrantes, tiende a reproducirse, a generar más migración (Massey, </w:t>
      </w:r>
      <w:proofErr w:type="spellStart"/>
      <w:r w:rsidRPr="00A04EAE">
        <w:rPr>
          <w:rFonts w:ascii="Times New Roman" w:eastAsia="Times New Roman" w:hAnsi="Times New Roman" w:cs="Times New Roman"/>
          <w:sz w:val="24"/>
          <w:szCs w:val="24"/>
          <w:lang w:eastAsia="es-MX"/>
        </w:rPr>
        <w:t>e.al</w:t>
      </w:r>
      <w:proofErr w:type="spellEnd"/>
      <w:r w:rsidRPr="00A04EAE">
        <w:rPr>
          <w:rFonts w:ascii="Times New Roman" w:eastAsia="Times New Roman" w:hAnsi="Times New Roman" w:cs="Times New Roman"/>
          <w:sz w:val="24"/>
          <w:szCs w:val="24"/>
          <w:lang w:eastAsia="es-MX"/>
        </w:rPr>
        <w:t>., 2000; Durand y Massey, 2003).</w:t>
      </w:r>
    </w:p>
    <w:p w14:paraId="3C786BF8" w14:textId="3DC4E8D0"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La perspectiva transnacional en los estudios de migración internacional surge como un marco analítico para entender las vinculaciones que los migrantes mantienen con sus lugares de origen y las implicaciones sociales que tienen tales vinculaciones (</w:t>
      </w:r>
      <w:proofErr w:type="spellStart"/>
      <w:r w:rsidRPr="00A04EAE">
        <w:rPr>
          <w:rFonts w:ascii="Times New Roman" w:eastAsia="Times New Roman" w:hAnsi="Times New Roman" w:cs="Times New Roman"/>
          <w:sz w:val="24"/>
          <w:szCs w:val="24"/>
          <w:lang w:eastAsia="es-MX"/>
        </w:rPr>
        <w:t>Glick</w:t>
      </w:r>
      <w:proofErr w:type="spellEnd"/>
      <w:r w:rsidRPr="00A04EAE">
        <w:rPr>
          <w:rFonts w:ascii="Times New Roman" w:eastAsia="Times New Roman" w:hAnsi="Times New Roman" w:cs="Times New Roman"/>
          <w:sz w:val="24"/>
          <w:szCs w:val="24"/>
          <w:lang w:eastAsia="es-MX"/>
        </w:rPr>
        <w:t>-Schiller,</w:t>
      </w:r>
      <w:r>
        <w:rPr>
          <w:rFonts w:ascii="Times New Roman" w:eastAsia="Times New Roman" w:hAnsi="Times New Roman" w:cs="Times New Roman"/>
          <w:sz w:val="24"/>
          <w:szCs w:val="24"/>
          <w:lang w:eastAsia="es-MX"/>
        </w:rPr>
        <w:t xml:space="preserve"> </w:t>
      </w:r>
      <w:proofErr w:type="spellStart"/>
      <w:r w:rsidRPr="00A04EAE">
        <w:rPr>
          <w:rFonts w:ascii="Times New Roman" w:eastAsia="Times New Roman" w:hAnsi="Times New Roman" w:cs="Times New Roman"/>
          <w:sz w:val="24"/>
          <w:szCs w:val="24"/>
          <w:lang w:eastAsia="es-MX"/>
        </w:rPr>
        <w:t>et.al</w:t>
      </w:r>
      <w:proofErr w:type="spellEnd"/>
      <w:r w:rsidRPr="00A04EAE">
        <w:rPr>
          <w:rFonts w:ascii="Times New Roman" w:eastAsia="Times New Roman" w:hAnsi="Times New Roman" w:cs="Times New Roman"/>
          <w:sz w:val="24"/>
          <w:szCs w:val="24"/>
          <w:lang w:eastAsia="es-MX"/>
        </w:rPr>
        <w:t>., 1992). Ante las teorías de la asimilación que consideraban dos tipos de migración y de migrantes: emigración-inmigración y migración de retorno, y emigrantes-inmigrantes y migrantes de retorno, respectivamente, la perspectiva transnacional identifica otra forma de migración y de migrante: la transmigración y los transmigrantes (</w:t>
      </w:r>
      <w:proofErr w:type="spellStart"/>
      <w:r w:rsidRPr="00A04EAE">
        <w:rPr>
          <w:rFonts w:ascii="Times New Roman" w:eastAsia="Times New Roman" w:hAnsi="Times New Roman" w:cs="Times New Roman"/>
          <w:sz w:val="24"/>
          <w:szCs w:val="24"/>
          <w:lang w:eastAsia="es-MX"/>
        </w:rPr>
        <w:t>Pries</w:t>
      </w:r>
      <w:proofErr w:type="spellEnd"/>
      <w:r w:rsidRPr="00A04EAE">
        <w:rPr>
          <w:rFonts w:ascii="Times New Roman" w:eastAsia="Times New Roman" w:hAnsi="Times New Roman" w:cs="Times New Roman"/>
          <w:sz w:val="24"/>
          <w:szCs w:val="24"/>
          <w:lang w:eastAsia="es-MX"/>
        </w:rPr>
        <w:t>, 2000 y 2002).</w:t>
      </w:r>
    </w:p>
    <w:p w14:paraId="72D2DF2F" w14:textId="77777777"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Esta distinción no es menor puesto que busca introducir en el estudio de la migración internacional y en el de la constitución de lo social otros niveles de análisis sustanciales para entender la organización de lo social en contextos de globalización (</w:t>
      </w:r>
      <w:proofErr w:type="spellStart"/>
      <w:r w:rsidRPr="00A04EAE">
        <w:rPr>
          <w:rFonts w:ascii="Times New Roman" w:eastAsia="Times New Roman" w:hAnsi="Times New Roman" w:cs="Times New Roman"/>
          <w:sz w:val="24"/>
          <w:szCs w:val="24"/>
          <w:lang w:eastAsia="es-MX"/>
        </w:rPr>
        <w:t>Glick</w:t>
      </w:r>
      <w:proofErr w:type="spellEnd"/>
      <w:r w:rsidRPr="00A04EAE">
        <w:rPr>
          <w:rFonts w:ascii="Times New Roman" w:eastAsia="Times New Roman" w:hAnsi="Times New Roman" w:cs="Times New Roman"/>
          <w:sz w:val="24"/>
          <w:szCs w:val="24"/>
          <w:lang w:eastAsia="es-MX"/>
        </w:rPr>
        <w:t>-Schiller, 2007).</w:t>
      </w:r>
    </w:p>
    <w:p w14:paraId="1EC902F7" w14:textId="26E14AB0"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 xml:space="preserve">Con los estudios sobre globalización se comenzó a cuestionar la capacidad del estado para regular múltiples aspectos sociales, económicos, políticos y culturales orientados por fuerzas globales. Los crecientes flujos de capitales como producto de la reestructuración de las formas de producción, los acuerdos de libre comercio, los flujos de mercancías, las </w:t>
      </w:r>
      <w:r w:rsidRPr="00A04EAE">
        <w:rPr>
          <w:rFonts w:ascii="Times New Roman" w:eastAsia="Times New Roman" w:hAnsi="Times New Roman" w:cs="Times New Roman"/>
          <w:sz w:val="24"/>
          <w:szCs w:val="24"/>
          <w:lang w:eastAsia="es-MX"/>
        </w:rPr>
        <w:lastRenderedPageBreak/>
        <w:t xml:space="preserve">reestructuraciones de las legislaciones laborales, entre otras reestructuraciones, incidían en las relaciones sociales, económicas y políticas locales (Bauman, 2001). Dados estos fenómenos, los análisis de las ciencias sociales se orientaron a tratar de entender cómo lo global afectaba lo local y la relación de éste en la dimensión regional (Cfr. </w:t>
      </w:r>
      <w:proofErr w:type="spellStart"/>
      <w:r w:rsidRPr="00A04EAE">
        <w:rPr>
          <w:rFonts w:ascii="Times New Roman" w:eastAsia="Times New Roman" w:hAnsi="Times New Roman" w:cs="Times New Roman"/>
          <w:sz w:val="24"/>
          <w:szCs w:val="24"/>
          <w:lang w:eastAsia="es-MX"/>
        </w:rPr>
        <w:t>Sassen</w:t>
      </w:r>
      <w:proofErr w:type="spellEnd"/>
      <w:r w:rsidRPr="00A04EAE">
        <w:rPr>
          <w:rFonts w:ascii="Times New Roman" w:eastAsia="Times New Roman" w:hAnsi="Times New Roman" w:cs="Times New Roman"/>
          <w:sz w:val="24"/>
          <w:szCs w:val="24"/>
          <w:lang w:eastAsia="es-MX"/>
        </w:rPr>
        <w:t>, 2007). La globalización, como han demostrado diversos trabajos, incide de manera diferencial en las localidades y en las regiones, según la posición y las ventajas comparativas que ofrezcan para la atracción del capital global. Reconfigura la relevancia de las regiones y de las localidades en su aportación a la reproducción del capital. Así como la estructura social y la composición de clases al interior de las localidades y la relación de estas con las regiones (</w:t>
      </w:r>
      <w:proofErr w:type="spellStart"/>
      <w:r w:rsidRPr="00A04EAE">
        <w:rPr>
          <w:rFonts w:ascii="Times New Roman" w:eastAsia="Times New Roman" w:hAnsi="Times New Roman" w:cs="Times New Roman"/>
          <w:sz w:val="24"/>
          <w:szCs w:val="24"/>
          <w:lang w:eastAsia="es-MX"/>
        </w:rPr>
        <w:t>Sassen</w:t>
      </w:r>
      <w:proofErr w:type="spellEnd"/>
      <w:r w:rsidRPr="00A04EAE">
        <w:rPr>
          <w:rFonts w:ascii="Times New Roman" w:eastAsia="Times New Roman" w:hAnsi="Times New Roman" w:cs="Times New Roman"/>
          <w:sz w:val="24"/>
          <w:szCs w:val="24"/>
          <w:lang w:eastAsia="es-MX"/>
        </w:rPr>
        <w:t>, 2007).</w:t>
      </w:r>
    </w:p>
    <w:p w14:paraId="20837EFF" w14:textId="3D6336B5"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Es en este contexto que los estudios de migración internacional requerían actualizar su agenda de investigación. Si la globalización estaba incidiendo en distintos fenómenos sociales, entonces las migraciones internacionales también podían estudiarse bajo esa óptica. Esta ampliación de la mirada posibilitada por los estudios de la globalización tenía como principal antecedente los análisis marxistas del desarrollo del capitalismo. Desde Marx quedaba claro que el capital no tenía patria y dada su lógica de reproducción, tendía a subsumir diferentes ámbitos de la vida humana de diversas regiones del orbe para subsistir (Marx y Engels 1980 [1948]). Una forma que tomaron los análisis desde la región latinoamericana fueron los desarrollados por la teoría de la dependencia, que aplicando un marco conceptual marxista mostraban cómo el desarrollo de los países latinoamericanos estaba subordinado al desarrollo de los países occidentales (Mauro Marini, 1973).</w:t>
      </w:r>
    </w:p>
    <w:p w14:paraId="52B87F05" w14:textId="60F94FAB" w:rsidR="00A04EAE" w:rsidRPr="00A04EAE" w:rsidRDefault="00A04EAE" w:rsidP="005A17FA">
      <w:pPr>
        <w:spacing w:after="0" w:line="360" w:lineRule="auto"/>
        <w:jc w:val="both"/>
        <w:rPr>
          <w:rFonts w:ascii="Times New Roman" w:eastAsia="Times New Roman" w:hAnsi="Times New Roman" w:cs="Times New Roman"/>
          <w:sz w:val="24"/>
          <w:szCs w:val="24"/>
          <w:lang w:eastAsia="es-MX"/>
        </w:rPr>
      </w:pPr>
      <w:r w:rsidRPr="00A04EAE">
        <w:rPr>
          <w:rFonts w:ascii="Times New Roman" w:eastAsia="Times New Roman" w:hAnsi="Times New Roman" w:cs="Times New Roman"/>
          <w:sz w:val="24"/>
          <w:szCs w:val="24"/>
          <w:lang w:eastAsia="es-MX"/>
        </w:rPr>
        <w:t>Posteriormente, la teoría de los sistemas mundiales, que además incorporaba desarrollos teóricos de la teoría de la dependencia, ofrecía un marco macroestructural para entender las</w:t>
      </w:r>
      <w:r>
        <w:rPr>
          <w:rFonts w:ascii="Times New Roman" w:eastAsia="Times New Roman" w:hAnsi="Times New Roman" w:cs="Times New Roman"/>
          <w:sz w:val="24"/>
          <w:szCs w:val="24"/>
          <w:lang w:eastAsia="es-MX"/>
        </w:rPr>
        <w:t xml:space="preserve"> </w:t>
      </w:r>
      <w:r w:rsidRPr="00A04EAE">
        <w:rPr>
          <w:rFonts w:ascii="Times New Roman" w:eastAsia="Times New Roman" w:hAnsi="Times New Roman" w:cs="Times New Roman"/>
          <w:sz w:val="24"/>
          <w:szCs w:val="24"/>
          <w:lang w:eastAsia="es-MX"/>
        </w:rPr>
        <w:t>migraciones internacionales en la era de la globalización. Las migraciones se entendían como una consecuencia de las reestructuraciones que la expansión del capital ejercía sobre las formas de vida local. Es decir, ofrecía elementos para entender factores de expulsión y algunas implicaciones de los movimientos de capital y de la</w:t>
      </w:r>
      <w:r w:rsidR="00483A39">
        <w:rPr>
          <w:rFonts w:ascii="Times New Roman" w:eastAsia="Times New Roman" w:hAnsi="Times New Roman" w:cs="Times New Roman"/>
          <w:sz w:val="24"/>
          <w:szCs w:val="24"/>
          <w:lang w:eastAsia="es-MX"/>
        </w:rPr>
        <w:t>s</w:t>
      </w:r>
      <w:r w:rsidRPr="00A04EAE">
        <w:rPr>
          <w:rFonts w:ascii="Times New Roman" w:eastAsia="Times New Roman" w:hAnsi="Times New Roman" w:cs="Times New Roman"/>
          <w:sz w:val="24"/>
          <w:szCs w:val="24"/>
          <w:lang w:eastAsia="es-MX"/>
        </w:rPr>
        <w:t xml:space="preserve"> migraciones sobre la vida social, económica, política y cultural local, tanto en los lugares de origen como en los de destino (Massey, et.al, 2000).</w:t>
      </w:r>
    </w:p>
    <w:p w14:paraId="4523B223" w14:textId="0F068498" w:rsidR="007E5625" w:rsidRDefault="007E5625" w:rsidP="005A17FA">
      <w:pPr>
        <w:spacing w:after="0" w:line="360" w:lineRule="auto"/>
        <w:jc w:val="both"/>
        <w:rPr>
          <w:rFonts w:ascii="Times New Roman" w:eastAsia="Times New Roman" w:hAnsi="Times New Roman" w:cs="Times New Roman"/>
          <w:sz w:val="24"/>
          <w:szCs w:val="24"/>
          <w:lang w:eastAsia="es-MX"/>
        </w:rPr>
      </w:pPr>
      <w:r w:rsidRPr="007E5625">
        <w:rPr>
          <w:rFonts w:ascii="Times New Roman" w:eastAsia="Times New Roman" w:hAnsi="Times New Roman" w:cs="Times New Roman"/>
          <w:sz w:val="24"/>
          <w:szCs w:val="24"/>
          <w:lang w:eastAsia="es-MX"/>
        </w:rPr>
        <w:t>El</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capitalismo</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se</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encuentra</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una</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fase</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global.</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El</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mundo</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entero</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ha</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entrado</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lógica</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capitalista.</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Como</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el</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rey</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Midas,</w:t>
      </w:r>
      <w:r w:rsidR="008773C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t</w:t>
      </w:r>
      <w:r w:rsidR="008773C6">
        <w:rPr>
          <w:rFonts w:ascii="Times New Roman" w:eastAsia="Times New Roman" w:hAnsi="Times New Roman" w:cs="Times New Roman"/>
          <w:sz w:val="24"/>
          <w:szCs w:val="24"/>
          <w:lang w:eastAsia="es-MX"/>
        </w:rPr>
        <w:t>o</w:t>
      </w:r>
      <w:r w:rsidRPr="007E5625">
        <w:rPr>
          <w:rFonts w:ascii="Times New Roman" w:eastAsia="Times New Roman" w:hAnsi="Times New Roman" w:cs="Times New Roman"/>
          <w:sz w:val="24"/>
          <w:szCs w:val="24"/>
          <w:lang w:eastAsia="es-MX"/>
        </w:rPr>
        <w:t>do</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lo</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que</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toca</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lo</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transforma.</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Actualmente</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no</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se</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puede</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entender</w:t>
      </w:r>
      <w:r w:rsidR="0094591E">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lo</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local</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sin</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considerar</w:t>
      </w:r>
      <w:r w:rsidR="0094591E">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lo</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global.</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Precisamente,</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una</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característica</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fundamental</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globalización</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es</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su</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capacidad</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generar</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paradojas,</w:t>
      </w:r>
      <w:r w:rsidR="00CB0D3F">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contradicciones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y</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nuevas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dicotomías: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fundamentalismo-hibridación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cultural,</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local-global,</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inclusión-exclusión,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riqueza-pobreza,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lastRenderedPageBreak/>
        <w:t>net-</w:t>
      </w:r>
      <w:proofErr w:type="spellStart"/>
      <w:r w:rsidRPr="007E5625">
        <w:rPr>
          <w:rFonts w:ascii="Times New Roman" w:eastAsia="Times New Roman" w:hAnsi="Times New Roman" w:cs="Times New Roman"/>
          <w:sz w:val="24"/>
          <w:szCs w:val="24"/>
          <w:lang w:eastAsia="es-MX"/>
        </w:rPr>
        <w:t>self</w:t>
      </w:r>
      <w:proofErr w:type="spellEnd"/>
      <w:r w:rsidRPr="007E5625">
        <w:rPr>
          <w:rFonts w:ascii="Times New Roman" w:eastAsia="Times New Roman" w:hAnsi="Times New Roman" w:cs="Times New Roman"/>
          <w:sz w:val="24"/>
          <w:szCs w:val="24"/>
          <w:lang w:eastAsia="es-MX"/>
        </w:rPr>
        <w:t>,</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centro-periferia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(Bauman,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200</w:t>
      </w:r>
      <w:r w:rsidR="009A7F2B">
        <w:rPr>
          <w:rFonts w:ascii="Times New Roman" w:eastAsia="Times New Roman" w:hAnsi="Times New Roman" w:cs="Times New Roman"/>
          <w:sz w:val="24"/>
          <w:szCs w:val="24"/>
          <w:lang w:eastAsia="es-MX"/>
        </w:rPr>
        <w:t>1</w:t>
      </w:r>
      <w:r w:rsidRPr="007E5625">
        <w:rPr>
          <w:rFonts w:ascii="Times New Roman" w:eastAsia="Times New Roman" w:hAnsi="Times New Roman" w:cs="Times New Roman"/>
          <w:sz w:val="24"/>
          <w:szCs w:val="24"/>
          <w:lang w:eastAsia="es-MX"/>
        </w:rPr>
        <w:t>).</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Aunque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tales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dicotomías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existían,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era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globalización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adquieren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nuevos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matices</w:t>
      </w:r>
      <w:r w:rsidR="00815312">
        <w:rPr>
          <w:rFonts w:ascii="Times New Roman" w:eastAsia="Times New Roman" w:hAnsi="Times New Roman" w:cs="Times New Roman"/>
          <w:sz w:val="24"/>
          <w:szCs w:val="24"/>
          <w:lang w:eastAsia="es-MX"/>
        </w:rPr>
        <w:t>.</w:t>
      </w:r>
      <w:r w:rsidR="00DD2948">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Mientras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que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modernidad</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aspiraba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por</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universalizar</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un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tipo</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vida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social,</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buscaba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una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igualdad</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global,</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era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globalización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padecen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los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efectos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globales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nunca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deseados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ni</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previsto</w:t>
      </w:r>
      <w:r w:rsidR="00DD2948">
        <w:rPr>
          <w:rFonts w:ascii="Times New Roman" w:eastAsia="Times New Roman" w:hAnsi="Times New Roman" w:cs="Times New Roman"/>
          <w:sz w:val="24"/>
          <w:szCs w:val="24"/>
          <w:lang w:eastAsia="es-MX"/>
        </w:rPr>
        <w:t>s</w:t>
      </w:r>
      <w:r w:rsidRPr="007E5625">
        <w:rPr>
          <w:rFonts w:ascii="Times New Roman" w:eastAsia="Times New Roman" w:hAnsi="Times New Roman" w:cs="Times New Roman"/>
          <w:sz w:val="24"/>
          <w:szCs w:val="24"/>
          <w:lang w:eastAsia="es-MX"/>
        </w:rPr>
        <w:t>.</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globalización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se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refiere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“fuerzas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anónimas</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que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operan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en</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una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vasta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‘tierra</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nadie’</w:t>
      </w:r>
      <w:r w:rsidR="00510957">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–brumosa</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y</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cenagosa,</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intransitable</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e</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indomable–,</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fuera</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del</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alcance</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la</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capacidad</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planificación</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y</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acción</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de</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cualquiera”</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(Bauman,</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200</w:t>
      </w:r>
      <w:r w:rsidR="00E21A17">
        <w:rPr>
          <w:rFonts w:ascii="Times New Roman" w:eastAsia="Times New Roman" w:hAnsi="Times New Roman" w:cs="Times New Roman"/>
          <w:sz w:val="24"/>
          <w:szCs w:val="24"/>
          <w:lang w:eastAsia="es-MX"/>
        </w:rPr>
        <w:t>1</w:t>
      </w:r>
      <w:r w:rsidRPr="007E5625">
        <w:rPr>
          <w:rFonts w:ascii="Times New Roman" w:eastAsia="Times New Roman" w:hAnsi="Times New Roman" w:cs="Times New Roman"/>
          <w:sz w:val="24"/>
          <w:szCs w:val="24"/>
          <w:lang w:eastAsia="es-MX"/>
        </w:rPr>
        <w:t>:</w:t>
      </w:r>
      <w:r w:rsidR="00806EA6">
        <w:rPr>
          <w:rFonts w:ascii="Times New Roman" w:eastAsia="Times New Roman" w:hAnsi="Times New Roman" w:cs="Times New Roman"/>
          <w:sz w:val="24"/>
          <w:szCs w:val="24"/>
          <w:lang w:eastAsia="es-MX"/>
        </w:rPr>
        <w:t xml:space="preserve"> </w:t>
      </w:r>
      <w:r w:rsidRPr="007E5625">
        <w:rPr>
          <w:rFonts w:ascii="Times New Roman" w:eastAsia="Times New Roman" w:hAnsi="Times New Roman" w:cs="Times New Roman"/>
          <w:sz w:val="24"/>
          <w:szCs w:val="24"/>
          <w:lang w:eastAsia="es-MX"/>
        </w:rPr>
        <w:t>81)</w:t>
      </w:r>
    </w:p>
    <w:p w14:paraId="6A8C583B" w14:textId="268C1F42" w:rsidR="002E1A5B" w:rsidRDefault="00500467"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Así, las dinámicas del capital global son un factor importante para entender los flujos migratorios</w:t>
      </w:r>
      <w:r w:rsidR="007E5625">
        <w:rPr>
          <w:rFonts w:ascii="Times New Roman" w:eastAsia="Times New Roman" w:hAnsi="Times New Roman" w:cs="Times New Roman"/>
          <w:sz w:val="24"/>
          <w:szCs w:val="24"/>
          <w:lang w:eastAsia="es-MX"/>
        </w:rPr>
        <w:t xml:space="preserve">. </w:t>
      </w:r>
      <w:r w:rsidR="00DD2948">
        <w:rPr>
          <w:rFonts w:ascii="Times New Roman" w:eastAsia="Times New Roman" w:hAnsi="Times New Roman" w:cs="Times New Roman"/>
          <w:sz w:val="24"/>
          <w:szCs w:val="24"/>
          <w:lang w:eastAsia="es-MX"/>
        </w:rPr>
        <w:t xml:space="preserve">También es el caso de la migración de retorno. </w:t>
      </w:r>
      <w:r w:rsidR="007B702E">
        <w:rPr>
          <w:rFonts w:ascii="Times New Roman" w:eastAsia="Times New Roman" w:hAnsi="Times New Roman" w:cs="Times New Roman"/>
          <w:sz w:val="24"/>
          <w:szCs w:val="24"/>
          <w:lang w:eastAsia="es-MX"/>
        </w:rPr>
        <w:t xml:space="preserve">A partir del año 2008, México vio incrementar el número de retornados </w:t>
      </w:r>
      <w:r w:rsidR="007A4D37">
        <w:rPr>
          <w:rFonts w:ascii="Times New Roman" w:eastAsia="Times New Roman" w:hAnsi="Times New Roman" w:cs="Times New Roman"/>
          <w:sz w:val="24"/>
          <w:szCs w:val="24"/>
          <w:lang w:eastAsia="es-MX"/>
        </w:rPr>
        <w:t xml:space="preserve">desde Estados Unidos. Es decir, a partir de que el vecino país del norte entra en recesión económica, </w:t>
      </w:r>
      <w:r w:rsidR="00CB7BED">
        <w:rPr>
          <w:rFonts w:ascii="Times New Roman" w:eastAsia="Times New Roman" w:hAnsi="Times New Roman" w:cs="Times New Roman"/>
          <w:sz w:val="24"/>
          <w:szCs w:val="24"/>
          <w:lang w:eastAsia="es-MX"/>
        </w:rPr>
        <w:t xml:space="preserve">su mercado de trabajo se </w:t>
      </w:r>
      <w:r w:rsidR="00DF000C">
        <w:rPr>
          <w:rFonts w:ascii="Times New Roman" w:eastAsia="Times New Roman" w:hAnsi="Times New Roman" w:cs="Times New Roman"/>
          <w:sz w:val="24"/>
          <w:szCs w:val="24"/>
          <w:lang w:eastAsia="es-MX"/>
        </w:rPr>
        <w:t>vio</w:t>
      </w:r>
      <w:r w:rsidR="00CB7BED">
        <w:rPr>
          <w:rFonts w:ascii="Times New Roman" w:eastAsia="Times New Roman" w:hAnsi="Times New Roman" w:cs="Times New Roman"/>
          <w:sz w:val="24"/>
          <w:szCs w:val="24"/>
          <w:lang w:eastAsia="es-MX"/>
        </w:rPr>
        <w:t xml:space="preserve"> contraído y comienzan políticas antiinmigrantes que obligan a retornar a los mexicanos</w:t>
      </w:r>
      <w:r w:rsidR="0077674C">
        <w:rPr>
          <w:rFonts w:ascii="Times New Roman" w:eastAsia="Times New Roman" w:hAnsi="Times New Roman" w:cs="Times New Roman"/>
          <w:sz w:val="24"/>
          <w:szCs w:val="24"/>
          <w:lang w:eastAsia="es-MX"/>
        </w:rPr>
        <w:t xml:space="preserve"> (Masferrer y Prieto, 2019: </w:t>
      </w:r>
      <w:r w:rsidR="00D97CEA">
        <w:rPr>
          <w:rFonts w:ascii="Times New Roman" w:eastAsia="Times New Roman" w:hAnsi="Times New Roman" w:cs="Times New Roman"/>
          <w:sz w:val="24"/>
          <w:szCs w:val="24"/>
          <w:lang w:eastAsia="es-MX"/>
        </w:rPr>
        <w:t>68</w:t>
      </w:r>
      <w:r w:rsidR="0077674C">
        <w:rPr>
          <w:rFonts w:ascii="Times New Roman" w:eastAsia="Times New Roman" w:hAnsi="Times New Roman" w:cs="Times New Roman"/>
          <w:sz w:val="24"/>
          <w:szCs w:val="24"/>
          <w:lang w:eastAsia="es-MX"/>
        </w:rPr>
        <w:t>)</w:t>
      </w:r>
      <w:r w:rsidR="00D97CEA">
        <w:rPr>
          <w:rFonts w:ascii="Times New Roman" w:eastAsia="Times New Roman" w:hAnsi="Times New Roman" w:cs="Times New Roman"/>
          <w:sz w:val="24"/>
          <w:szCs w:val="24"/>
          <w:lang w:eastAsia="es-MX"/>
        </w:rPr>
        <w:t>.</w:t>
      </w:r>
    </w:p>
    <w:p w14:paraId="29D46A11" w14:textId="577235BA" w:rsidR="00EA79B0" w:rsidRPr="00FA6CAC" w:rsidRDefault="00EA79B0" w:rsidP="005A17FA">
      <w:pPr>
        <w:spacing w:after="0" w:line="360" w:lineRule="auto"/>
        <w:jc w:val="both"/>
        <w:rPr>
          <w:rFonts w:ascii="Times New Roman" w:eastAsia="Times New Roman" w:hAnsi="Times New Roman" w:cs="Times New Roman"/>
          <w:sz w:val="24"/>
          <w:szCs w:val="24"/>
          <w:lang w:eastAsia="es-MX"/>
        </w:rPr>
      </w:pPr>
      <w:r w:rsidRPr="00FA6CAC">
        <w:rPr>
          <w:rFonts w:ascii="Times New Roman" w:eastAsia="Times New Roman" w:hAnsi="Times New Roman" w:cs="Times New Roman"/>
          <w:color w:val="000000"/>
          <w:sz w:val="24"/>
          <w:szCs w:val="24"/>
          <w:lang w:eastAsia="es-MX"/>
        </w:rPr>
        <w:t>Para Rivera Sánchez (2019), se pueden distinguir dos grandes momentos en los estudios de la migración de retorno: los clásicos y los emergentes en la crisis económica de 2008. Los clásicos se caracterizan por ser retornos planeados una vez logrados los objetivos de quienes migran. Los emergentes se caracterizan por ser retornos forzados dado el incremento de las deportaciones. Las implicaciones socioeconómicas y laborales son diferenciadas. Mientras que los estudios clásicos de retorno se ocupan de procesos de desarrollo, en los emergentes se da cuenta de las desigualdades que se están generando, en virtud de que la migración de retorno es forzada por políticas antinmigrantes por parte de los Estados receptores de migrantes internacionales (Rivera Sánchez, 2019).</w:t>
      </w:r>
    </w:p>
    <w:p w14:paraId="6897FD11" w14:textId="1417EADF" w:rsidR="00EA79B0" w:rsidRDefault="00AC682D"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migración internacional en sí misma ya había generado transformaciones en las localidades de expulsión, y la migración de retorno programada, también había influido en las localidades de retorno a donde llegaban los retornados, pero en un contexto de </w:t>
      </w:r>
      <w:r w:rsidR="00046F99">
        <w:rPr>
          <w:rFonts w:ascii="Times New Roman" w:eastAsia="Times New Roman" w:hAnsi="Times New Roman" w:cs="Times New Roman"/>
          <w:sz w:val="24"/>
          <w:szCs w:val="24"/>
          <w:lang w:eastAsia="es-MX"/>
        </w:rPr>
        <w:t xml:space="preserve">expulsión de migrantes o de retorno no programado, no sabemos los impactos que esto ha tenido tanto para </w:t>
      </w:r>
      <w:proofErr w:type="spellStart"/>
      <w:r w:rsidR="00046F99">
        <w:rPr>
          <w:rFonts w:ascii="Times New Roman" w:eastAsia="Times New Roman" w:hAnsi="Times New Roman" w:cs="Times New Roman"/>
          <w:sz w:val="24"/>
          <w:szCs w:val="24"/>
          <w:lang w:eastAsia="es-MX"/>
        </w:rPr>
        <w:t>lo</w:t>
      </w:r>
      <w:proofErr w:type="spellEnd"/>
      <w:r w:rsidR="00046F99">
        <w:rPr>
          <w:rFonts w:ascii="Times New Roman" w:eastAsia="Times New Roman" w:hAnsi="Times New Roman" w:cs="Times New Roman"/>
          <w:sz w:val="24"/>
          <w:szCs w:val="24"/>
          <w:lang w:eastAsia="es-MX"/>
        </w:rPr>
        <w:t xml:space="preserve"> migrantes de retorno y sus familias, y para las localidades de retorno. </w:t>
      </w:r>
      <w:r w:rsidR="003F1B0C">
        <w:rPr>
          <w:rFonts w:ascii="Times New Roman" w:eastAsia="Times New Roman" w:hAnsi="Times New Roman" w:cs="Times New Roman"/>
          <w:sz w:val="24"/>
          <w:szCs w:val="24"/>
          <w:lang w:eastAsia="es-MX"/>
        </w:rPr>
        <w:t xml:space="preserve">Es decir, durante el largo proceso migratorio México-Estados Unidos, con sus diversas etapas, que incluyó un siglo de emigraciones, </w:t>
      </w:r>
      <w:r w:rsidR="00F06B0B">
        <w:rPr>
          <w:rFonts w:ascii="Times New Roman" w:eastAsia="Times New Roman" w:hAnsi="Times New Roman" w:cs="Times New Roman"/>
          <w:sz w:val="24"/>
          <w:szCs w:val="24"/>
          <w:lang w:eastAsia="es-MX"/>
        </w:rPr>
        <w:t>se diversificaron los perfiles y contextos de salida de los emigrantes y de los retornados</w:t>
      </w:r>
      <w:r w:rsidR="008D138E">
        <w:rPr>
          <w:rFonts w:ascii="Times New Roman" w:eastAsia="Times New Roman" w:hAnsi="Times New Roman" w:cs="Times New Roman"/>
          <w:sz w:val="24"/>
          <w:szCs w:val="24"/>
          <w:lang w:eastAsia="es-MX"/>
        </w:rPr>
        <w:t xml:space="preserve">, de modo que también se diversificaron </w:t>
      </w:r>
      <w:r w:rsidR="000948C3">
        <w:rPr>
          <w:rFonts w:ascii="Times New Roman" w:eastAsia="Times New Roman" w:hAnsi="Times New Roman" w:cs="Times New Roman"/>
          <w:sz w:val="24"/>
          <w:szCs w:val="24"/>
          <w:lang w:eastAsia="es-MX"/>
        </w:rPr>
        <w:t xml:space="preserve">las oportunidades de reintegración económica de los retornados. </w:t>
      </w:r>
    </w:p>
    <w:p w14:paraId="3FC6F878" w14:textId="199E9153" w:rsidR="00C24629" w:rsidRDefault="00256F63"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Estudios que analizan el retorno reciente han mostrado que </w:t>
      </w:r>
      <w:r w:rsidR="00772186">
        <w:rPr>
          <w:rFonts w:ascii="Times New Roman" w:eastAsia="Times New Roman" w:hAnsi="Times New Roman" w:cs="Times New Roman"/>
          <w:sz w:val="24"/>
          <w:szCs w:val="24"/>
          <w:lang w:eastAsia="es-MX"/>
        </w:rPr>
        <w:t>la recesión económica de Estados Unidos dio lugar a un mayor desempleo</w:t>
      </w:r>
      <w:r w:rsidR="007732B2">
        <w:rPr>
          <w:rFonts w:ascii="Times New Roman" w:eastAsia="Times New Roman" w:hAnsi="Times New Roman" w:cs="Times New Roman"/>
          <w:sz w:val="24"/>
          <w:szCs w:val="24"/>
          <w:lang w:eastAsia="es-MX"/>
        </w:rPr>
        <w:t xml:space="preserve">, así como un incremento en prácticas de </w:t>
      </w:r>
      <w:r w:rsidR="007732B2">
        <w:rPr>
          <w:rFonts w:ascii="Times New Roman" w:eastAsia="Times New Roman" w:hAnsi="Times New Roman" w:cs="Times New Roman"/>
          <w:sz w:val="24"/>
          <w:szCs w:val="24"/>
          <w:lang w:eastAsia="es-MX"/>
        </w:rPr>
        <w:lastRenderedPageBreak/>
        <w:t>discriminación y xenofobia</w:t>
      </w:r>
      <w:r w:rsidR="00AE44E5">
        <w:rPr>
          <w:rFonts w:ascii="Times New Roman" w:eastAsia="Times New Roman" w:hAnsi="Times New Roman" w:cs="Times New Roman"/>
          <w:sz w:val="24"/>
          <w:szCs w:val="24"/>
          <w:lang w:eastAsia="es-MX"/>
        </w:rPr>
        <w:t xml:space="preserve"> y una política migratoria más restrictiva que criminaliza a la población migrante</w:t>
      </w:r>
      <w:r w:rsidR="00A576DA">
        <w:rPr>
          <w:rFonts w:ascii="Times New Roman" w:eastAsia="Times New Roman" w:hAnsi="Times New Roman" w:cs="Times New Roman"/>
          <w:sz w:val="24"/>
          <w:szCs w:val="24"/>
          <w:lang w:eastAsia="es-MX"/>
        </w:rPr>
        <w:t xml:space="preserve">. Todo lo anterior ha generado </w:t>
      </w:r>
      <w:r w:rsidR="0005303F">
        <w:rPr>
          <w:rFonts w:ascii="Times New Roman" w:eastAsia="Times New Roman" w:hAnsi="Times New Roman" w:cs="Times New Roman"/>
          <w:sz w:val="24"/>
          <w:szCs w:val="24"/>
          <w:lang w:eastAsia="es-MX"/>
        </w:rPr>
        <w:t>diversos</w:t>
      </w:r>
      <w:r w:rsidR="00A576DA">
        <w:rPr>
          <w:rFonts w:ascii="Times New Roman" w:eastAsia="Times New Roman" w:hAnsi="Times New Roman" w:cs="Times New Roman"/>
          <w:sz w:val="24"/>
          <w:szCs w:val="24"/>
          <w:lang w:eastAsia="es-MX"/>
        </w:rPr>
        <w:t xml:space="preserve"> efecto</w:t>
      </w:r>
      <w:r w:rsidR="0005303F">
        <w:rPr>
          <w:rFonts w:ascii="Times New Roman" w:eastAsia="Times New Roman" w:hAnsi="Times New Roman" w:cs="Times New Roman"/>
          <w:sz w:val="24"/>
          <w:szCs w:val="24"/>
          <w:lang w:eastAsia="es-MX"/>
        </w:rPr>
        <w:t>s</w:t>
      </w:r>
      <w:r w:rsidR="00A576DA">
        <w:rPr>
          <w:rFonts w:ascii="Times New Roman" w:eastAsia="Times New Roman" w:hAnsi="Times New Roman" w:cs="Times New Roman"/>
          <w:sz w:val="24"/>
          <w:szCs w:val="24"/>
          <w:lang w:eastAsia="es-MX"/>
        </w:rPr>
        <w:t xml:space="preserve"> sobre la migración de retorno: a) al inicio de la recesión económica se incrementó el retorno de mexicanos; b) </w:t>
      </w:r>
      <w:r w:rsidR="00660E31">
        <w:rPr>
          <w:rFonts w:ascii="Times New Roman" w:eastAsia="Times New Roman" w:hAnsi="Times New Roman" w:cs="Times New Roman"/>
          <w:sz w:val="24"/>
          <w:szCs w:val="24"/>
          <w:lang w:eastAsia="es-MX"/>
        </w:rPr>
        <w:t>posteriormente se ha presentado un descenso en el número de retornados</w:t>
      </w:r>
      <w:r w:rsidR="00682F99">
        <w:rPr>
          <w:rFonts w:ascii="Times New Roman" w:eastAsia="Times New Roman" w:hAnsi="Times New Roman" w:cs="Times New Roman"/>
          <w:sz w:val="24"/>
          <w:szCs w:val="24"/>
          <w:lang w:eastAsia="es-MX"/>
        </w:rPr>
        <w:t xml:space="preserve">; c) el retorno se </w:t>
      </w:r>
      <w:r w:rsidR="0005303F">
        <w:rPr>
          <w:rFonts w:ascii="Times New Roman" w:eastAsia="Times New Roman" w:hAnsi="Times New Roman" w:cs="Times New Roman"/>
          <w:sz w:val="24"/>
          <w:szCs w:val="24"/>
          <w:lang w:eastAsia="es-MX"/>
        </w:rPr>
        <w:t xml:space="preserve">da entre personas con diferentes tiempos de haber emigrado; d) el retorno </w:t>
      </w:r>
      <w:r w:rsidR="00517E20">
        <w:rPr>
          <w:rFonts w:ascii="Times New Roman" w:eastAsia="Times New Roman" w:hAnsi="Times New Roman" w:cs="Times New Roman"/>
          <w:sz w:val="24"/>
          <w:szCs w:val="24"/>
          <w:lang w:eastAsia="es-MX"/>
        </w:rPr>
        <w:t xml:space="preserve">se da no a los lugares de origen, sino a </w:t>
      </w:r>
      <w:r w:rsidR="00B50701">
        <w:rPr>
          <w:rFonts w:ascii="Times New Roman" w:eastAsia="Times New Roman" w:hAnsi="Times New Roman" w:cs="Times New Roman"/>
          <w:sz w:val="24"/>
          <w:szCs w:val="24"/>
          <w:lang w:eastAsia="es-MX"/>
        </w:rPr>
        <w:t>localidades donde consideran encontrar mejores oportunidades de inserción laboral (</w:t>
      </w:r>
      <w:r w:rsidR="003D4D04">
        <w:rPr>
          <w:rFonts w:ascii="Times New Roman" w:eastAsia="Times New Roman" w:hAnsi="Times New Roman" w:cs="Times New Roman"/>
          <w:sz w:val="24"/>
          <w:szCs w:val="24"/>
          <w:lang w:eastAsia="es-MX"/>
        </w:rPr>
        <w:t xml:space="preserve">Gandini y </w:t>
      </w:r>
      <w:proofErr w:type="spellStart"/>
      <w:r w:rsidR="003D4D04">
        <w:rPr>
          <w:rFonts w:ascii="Times New Roman" w:eastAsia="Times New Roman" w:hAnsi="Times New Roman" w:cs="Times New Roman"/>
          <w:sz w:val="24"/>
          <w:szCs w:val="24"/>
          <w:lang w:eastAsia="es-MX"/>
        </w:rPr>
        <w:t>Aranzales</w:t>
      </w:r>
      <w:proofErr w:type="spellEnd"/>
      <w:r w:rsidR="003D4D04">
        <w:rPr>
          <w:rFonts w:ascii="Times New Roman" w:eastAsia="Times New Roman" w:hAnsi="Times New Roman" w:cs="Times New Roman"/>
          <w:sz w:val="24"/>
          <w:szCs w:val="24"/>
          <w:lang w:eastAsia="es-MX"/>
        </w:rPr>
        <w:t>, 2019: 15</w:t>
      </w:r>
      <w:r w:rsidR="00C24629">
        <w:rPr>
          <w:rFonts w:ascii="Times New Roman" w:eastAsia="Times New Roman" w:hAnsi="Times New Roman" w:cs="Times New Roman"/>
          <w:sz w:val="24"/>
          <w:szCs w:val="24"/>
          <w:lang w:eastAsia="es-MX"/>
        </w:rPr>
        <w:t>8)</w:t>
      </w:r>
      <w:r w:rsidR="00AA60C4">
        <w:rPr>
          <w:rFonts w:ascii="Times New Roman" w:eastAsia="Times New Roman" w:hAnsi="Times New Roman" w:cs="Times New Roman"/>
          <w:sz w:val="24"/>
          <w:szCs w:val="24"/>
          <w:lang w:eastAsia="es-MX"/>
        </w:rPr>
        <w:t>.</w:t>
      </w:r>
    </w:p>
    <w:p w14:paraId="7339CC6E" w14:textId="25E46BB5" w:rsidR="00A858A2" w:rsidRDefault="00925A53"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Si bien los retornados buscan regresar a</w:t>
      </w:r>
      <w:r w:rsidR="00834CE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lugares donde puedan emplearse, el panorama es muy diverso</w:t>
      </w:r>
      <w:r w:rsidR="00F30F14">
        <w:rPr>
          <w:rFonts w:ascii="Times New Roman" w:eastAsia="Times New Roman" w:hAnsi="Times New Roman" w:cs="Times New Roman"/>
          <w:sz w:val="24"/>
          <w:szCs w:val="24"/>
          <w:lang w:eastAsia="es-MX"/>
        </w:rPr>
        <w:t>, dado que la migración de retorno en muchas ocasiones no es programada, sino forzada por las políticas antiinmigrantes. Así</w:t>
      </w:r>
      <w:r w:rsidR="00D21F57">
        <w:rPr>
          <w:rFonts w:ascii="Times New Roman" w:eastAsia="Times New Roman" w:hAnsi="Times New Roman" w:cs="Times New Roman"/>
          <w:sz w:val="24"/>
          <w:szCs w:val="24"/>
          <w:lang w:eastAsia="es-MX"/>
        </w:rPr>
        <w:t xml:space="preserve">, para el caso de los que son repatriados, deportados o devueltos, es decir, para los que el retorno es forzado, </w:t>
      </w:r>
      <w:r w:rsidR="004140FD">
        <w:rPr>
          <w:rFonts w:ascii="Times New Roman" w:eastAsia="Times New Roman" w:hAnsi="Times New Roman" w:cs="Times New Roman"/>
          <w:sz w:val="24"/>
          <w:szCs w:val="24"/>
          <w:lang w:eastAsia="es-MX"/>
        </w:rPr>
        <w:t>su inserción económica y social no es del todo favorable</w:t>
      </w:r>
      <w:r w:rsidR="00FC0E96">
        <w:rPr>
          <w:rFonts w:ascii="Times New Roman" w:eastAsia="Times New Roman" w:hAnsi="Times New Roman" w:cs="Times New Roman"/>
          <w:sz w:val="24"/>
          <w:szCs w:val="24"/>
          <w:lang w:eastAsia="es-MX"/>
        </w:rPr>
        <w:t xml:space="preserve"> (Barros </w:t>
      </w:r>
      <w:proofErr w:type="spellStart"/>
      <w:r w:rsidR="00FC0E96">
        <w:rPr>
          <w:rFonts w:ascii="Times New Roman" w:eastAsia="Times New Roman" w:hAnsi="Times New Roman" w:cs="Times New Roman"/>
          <w:sz w:val="24"/>
          <w:szCs w:val="24"/>
          <w:lang w:eastAsia="es-MX"/>
        </w:rPr>
        <w:t>Nock</w:t>
      </w:r>
      <w:proofErr w:type="spellEnd"/>
      <w:r w:rsidR="00FC0E96">
        <w:rPr>
          <w:rFonts w:ascii="Times New Roman" w:eastAsia="Times New Roman" w:hAnsi="Times New Roman" w:cs="Times New Roman"/>
          <w:sz w:val="24"/>
          <w:szCs w:val="24"/>
          <w:lang w:eastAsia="es-MX"/>
        </w:rPr>
        <w:t>, 2019)</w:t>
      </w:r>
      <w:r w:rsidR="004140FD">
        <w:rPr>
          <w:rFonts w:ascii="Times New Roman" w:eastAsia="Times New Roman" w:hAnsi="Times New Roman" w:cs="Times New Roman"/>
          <w:sz w:val="24"/>
          <w:szCs w:val="24"/>
          <w:lang w:eastAsia="es-MX"/>
        </w:rPr>
        <w:t xml:space="preserve">. Por un lado, las actividades laborales que realizaban en Estados Unidos eran no calificadas, </w:t>
      </w:r>
      <w:r w:rsidR="00FA4EAE">
        <w:rPr>
          <w:rFonts w:ascii="Times New Roman" w:eastAsia="Times New Roman" w:hAnsi="Times New Roman" w:cs="Times New Roman"/>
          <w:sz w:val="24"/>
          <w:szCs w:val="24"/>
          <w:lang w:eastAsia="es-MX"/>
        </w:rPr>
        <w:t>contaban con niveles bajos de escolaridad</w:t>
      </w:r>
      <w:r w:rsidR="00946815">
        <w:rPr>
          <w:rFonts w:ascii="Times New Roman" w:eastAsia="Times New Roman" w:hAnsi="Times New Roman" w:cs="Times New Roman"/>
          <w:sz w:val="24"/>
          <w:szCs w:val="24"/>
          <w:lang w:eastAsia="es-MX"/>
        </w:rPr>
        <w:t xml:space="preserve">; lo que, por otra </w:t>
      </w:r>
      <w:r w:rsidR="00483A39">
        <w:rPr>
          <w:rFonts w:ascii="Times New Roman" w:eastAsia="Times New Roman" w:hAnsi="Times New Roman" w:cs="Times New Roman"/>
          <w:sz w:val="24"/>
          <w:szCs w:val="24"/>
          <w:lang w:eastAsia="es-MX"/>
        </w:rPr>
        <w:t>parte,</w:t>
      </w:r>
      <w:r w:rsidR="00946815">
        <w:rPr>
          <w:rFonts w:ascii="Times New Roman" w:eastAsia="Times New Roman" w:hAnsi="Times New Roman" w:cs="Times New Roman"/>
          <w:sz w:val="24"/>
          <w:szCs w:val="24"/>
          <w:lang w:eastAsia="es-MX"/>
        </w:rPr>
        <w:t xml:space="preserve"> no les permitió desarrollar habilidades laborales que sean valoradas en las ciudades con mejores condiciones laborales, como por ejemplo el dominio del inglés </w:t>
      </w:r>
      <w:r w:rsidR="00545CCD">
        <w:rPr>
          <w:rFonts w:ascii="Times New Roman" w:eastAsia="Times New Roman" w:hAnsi="Times New Roman" w:cs="Times New Roman"/>
          <w:sz w:val="24"/>
          <w:szCs w:val="24"/>
          <w:lang w:eastAsia="es-MX"/>
        </w:rPr>
        <w:t xml:space="preserve">o habilidades técnicas. Así, su inserción laboral al retorno no es inmediata, y se da </w:t>
      </w:r>
      <w:r w:rsidR="0059598B">
        <w:rPr>
          <w:rFonts w:ascii="Times New Roman" w:eastAsia="Times New Roman" w:hAnsi="Times New Roman" w:cs="Times New Roman"/>
          <w:sz w:val="24"/>
          <w:szCs w:val="24"/>
          <w:lang w:eastAsia="es-MX"/>
        </w:rPr>
        <w:t>en competencia con los trabajadores locales por empleos poco calificados</w:t>
      </w:r>
      <w:r w:rsidR="00D20A98">
        <w:rPr>
          <w:rFonts w:ascii="Times New Roman" w:eastAsia="Times New Roman" w:hAnsi="Times New Roman" w:cs="Times New Roman"/>
          <w:sz w:val="24"/>
          <w:szCs w:val="24"/>
          <w:lang w:eastAsia="es-MX"/>
        </w:rPr>
        <w:t xml:space="preserve"> en los sectores secundario y terciario</w:t>
      </w:r>
      <w:r w:rsidR="009B121C">
        <w:rPr>
          <w:rFonts w:ascii="Times New Roman" w:eastAsia="Times New Roman" w:hAnsi="Times New Roman" w:cs="Times New Roman"/>
          <w:sz w:val="24"/>
          <w:szCs w:val="24"/>
          <w:lang w:eastAsia="es-MX"/>
        </w:rPr>
        <w:t xml:space="preserve"> (Hualde y París, 2019: </w:t>
      </w:r>
      <w:r w:rsidR="00696EBB">
        <w:rPr>
          <w:rFonts w:ascii="Times New Roman" w:eastAsia="Times New Roman" w:hAnsi="Times New Roman" w:cs="Times New Roman"/>
          <w:sz w:val="24"/>
          <w:szCs w:val="24"/>
          <w:lang w:eastAsia="es-MX"/>
        </w:rPr>
        <w:t>195</w:t>
      </w:r>
      <w:r w:rsidR="009B121C">
        <w:rPr>
          <w:rFonts w:ascii="Times New Roman" w:eastAsia="Times New Roman" w:hAnsi="Times New Roman" w:cs="Times New Roman"/>
          <w:sz w:val="24"/>
          <w:szCs w:val="24"/>
          <w:lang w:eastAsia="es-MX"/>
        </w:rPr>
        <w:t>)</w:t>
      </w:r>
      <w:r w:rsidR="00A3495D">
        <w:rPr>
          <w:rFonts w:ascii="Times New Roman" w:eastAsia="Times New Roman" w:hAnsi="Times New Roman" w:cs="Times New Roman"/>
          <w:sz w:val="24"/>
          <w:szCs w:val="24"/>
          <w:lang w:eastAsia="es-MX"/>
        </w:rPr>
        <w:t>; y en los casos donde las deportaciones o devoluciones se dan a las ciudades fronterizas y los devueltos no tienen condiciones para regresar a sus lugares de origen, se dan vulnerabilidades que llevan a los deportados a vivir situaciones de calle</w:t>
      </w:r>
      <w:r w:rsidR="00FA528C">
        <w:rPr>
          <w:rFonts w:ascii="Times New Roman" w:eastAsia="Times New Roman" w:hAnsi="Times New Roman" w:cs="Times New Roman"/>
          <w:sz w:val="24"/>
          <w:szCs w:val="24"/>
          <w:lang w:eastAsia="es-MX"/>
        </w:rPr>
        <w:t xml:space="preserve"> (</w:t>
      </w:r>
      <w:r w:rsidR="008A5F70">
        <w:rPr>
          <w:rFonts w:ascii="Times New Roman" w:eastAsia="Times New Roman" w:hAnsi="Times New Roman" w:cs="Times New Roman"/>
          <w:sz w:val="24"/>
          <w:szCs w:val="24"/>
          <w:lang w:eastAsia="es-MX"/>
        </w:rPr>
        <w:t xml:space="preserve">Del Monte, </w:t>
      </w:r>
      <w:r w:rsidR="004A0716">
        <w:rPr>
          <w:rFonts w:ascii="Times New Roman" w:eastAsia="Times New Roman" w:hAnsi="Times New Roman" w:cs="Times New Roman"/>
          <w:sz w:val="24"/>
          <w:szCs w:val="24"/>
          <w:lang w:eastAsia="es-MX"/>
        </w:rPr>
        <w:t>2019: 269</w:t>
      </w:r>
      <w:r w:rsidR="00FA528C">
        <w:rPr>
          <w:rFonts w:ascii="Times New Roman" w:eastAsia="Times New Roman" w:hAnsi="Times New Roman" w:cs="Times New Roman"/>
          <w:sz w:val="24"/>
          <w:szCs w:val="24"/>
          <w:lang w:eastAsia="es-MX"/>
        </w:rPr>
        <w:t>)</w:t>
      </w:r>
      <w:r w:rsidR="004A0716">
        <w:rPr>
          <w:rFonts w:ascii="Times New Roman" w:eastAsia="Times New Roman" w:hAnsi="Times New Roman" w:cs="Times New Roman"/>
          <w:sz w:val="24"/>
          <w:szCs w:val="24"/>
          <w:lang w:eastAsia="es-MX"/>
        </w:rPr>
        <w:t>.</w:t>
      </w:r>
    </w:p>
    <w:p w14:paraId="5C207D65" w14:textId="58EEFD8B" w:rsidR="001362F4" w:rsidRDefault="00662076"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Existe una diversidad de factores </w:t>
      </w:r>
      <w:r w:rsidR="001A2BA9">
        <w:rPr>
          <w:rFonts w:ascii="Times New Roman" w:eastAsia="Times New Roman" w:hAnsi="Times New Roman" w:cs="Times New Roman"/>
          <w:sz w:val="24"/>
          <w:szCs w:val="24"/>
          <w:lang w:eastAsia="es-MX"/>
        </w:rPr>
        <w:t xml:space="preserve">que influyen en los modos que se dé el retorno a México. Como ya se mostró, las condiciones en que se da el retorno es un factor importante </w:t>
      </w:r>
      <w:r w:rsidR="004E48A1">
        <w:rPr>
          <w:rFonts w:ascii="Times New Roman" w:eastAsia="Times New Roman" w:hAnsi="Times New Roman" w:cs="Times New Roman"/>
          <w:sz w:val="24"/>
          <w:szCs w:val="24"/>
          <w:lang w:eastAsia="es-MX"/>
        </w:rPr>
        <w:t xml:space="preserve">que influye en el modo del retorno; las actividades y sectores de inserción laboral, es otro factor que influye cómo se dará el retorno; la escolaridad y el sexo también son factores que determinan el retorno; las migraciones internas previas </w:t>
      </w:r>
      <w:r w:rsidR="006A6E36">
        <w:rPr>
          <w:rFonts w:ascii="Times New Roman" w:eastAsia="Times New Roman" w:hAnsi="Times New Roman" w:cs="Times New Roman"/>
          <w:sz w:val="24"/>
          <w:szCs w:val="24"/>
          <w:lang w:eastAsia="es-MX"/>
        </w:rPr>
        <w:t xml:space="preserve">de los mismos migrantes y de las redes sociales de los grupos de pertenencia de los migrantes también son relevantes en el lugar donde se dará el retorno. Así, </w:t>
      </w:r>
      <w:r w:rsidR="003876CF">
        <w:rPr>
          <w:rFonts w:ascii="Times New Roman" w:eastAsia="Times New Roman" w:hAnsi="Times New Roman" w:cs="Times New Roman"/>
          <w:sz w:val="24"/>
          <w:szCs w:val="24"/>
          <w:lang w:eastAsia="es-MX"/>
        </w:rPr>
        <w:t xml:space="preserve">quienes emigraron de sus lugares de origen y sus redes familiares no experimentaron movilidad interna, </w:t>
      </w:r>
      <w:r w:rsidR="001F1714">
        <w:rPr>
          <w:rFonts w:ascii="Times New Roman" w:eastAsia="Times New Roman" w:hAnsi="Times New Roman" w:cs="Times New Roman"/>
          <w:sz w:val="24"/>
          <w:szCs w:val="24"/>
          <w:lang w:eastAsia="es-MX"/>
        </w:rPr>
        <w:t>tienen mayor probabilidad de retornar al lugar de origen y quizás ya no volver a migrar (</w:t>
      </w:r>
      <w:proofErr w:type="spellStart"/>
      <w:r w:rsidR="004E4BA1">
        <w:rPr>
          <w:rFonts w:ascii="Times New Roman" w:eastAsia="Times New Roman" w:hAnsi="Times New Roman" w:cs="Times New Roman"/>
          <w:sz w:val="24"/>
          <w:szCs w:val="24"/>
          <w:lang w:eastAsia="es-MX"/>
        </w:rPr>
        <w:t>Woo</w:t>
      </w:r>
      <w:proofErr w:type="spellEnd"/>
      <w:r w:rsidR="004E4BA1">
        <w:rPr>
          <w:rFonts w:ascii="Times New Roman" w:eastAsia="Times New Roman" w:hAnsi="Times New Roman" w:cs="Times New Roman"/>
          <w:sz w:val="24"/>
          <w:szCs w:val="24"/>
          <w:lang w:eastAsia="es-MX"/>
        </w:rPr>
        <w:t>, 2019; Nicolás, 2019)</w:t>
      </w:r>
      <w:r w:rsidR="000F303A">
        <w:rPr>
          <w:rFonts w:ascii="Times New Roman" w:eastAsia="Times New Roman" w:hAnsi="Times New Roman" w:cs="Times New Roman"/>
          <w:sz w:val="24"/>
          <w:szCs w:val="24"/>
          <w:lang w:eastAsia="es-MX"/>
        </w:rPr>
        <w:t>.</w:t>
      </w:r>
    </w:p>
    <w:p w14:paraId="638193BD" w14:textId="7D0D961E"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0D4502A6" w14:textId="2B8356A0"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689EF411" w14:textId="77777777"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105678E1" w14:textId="26665F9C" w:rsidR="00170569" w:rsidRPr="009825B3" w:rsidRDefault="00170569" w:rsidP="005A17FA">
      <w:pPr>
        <w:spacing w:after="0" w:line="360" w:lineRule="auto"/>
        <w:jc w:val="center"/>
        <w:rPr>
          <w:rFonts w:ascii="Times New Roman" w:eastAsia="Times New Roman" w:hAnsi="Times New Roman" w:cs="Times New Roman"/>
          <w:b/>
          <w:bCs/>
          <w:sz w:val="28"/>
          <w:szCs w:val="28"/>
          <w:lang w:eastAsia="es-MX"/>
        </w:rPr>
      </w:pPr>
      <w:r w:rsidRPr="009825B3">
        <w:rPr>
          <w:rFonts w:ascii="Times New Roman" w:eastAsia="Times New Roman" w:hAnsi="Times New Roman" w:cs="Times New Roman"/>
          <w:b/>
          <w:bCs/>
          <w:sz w:val="28"/>
          <w:szCs w:val="28"/>
          <w:lang w:eastAsia="es-MX"/>
        </w:rPr>
        <w:lastRenderedPageBreak/>
        <w:t xml:space="preserve">Perspectiva teórica: </w:t>
      </w:r>
      <w:r w:rsidR="003A1ECB" w:rsidRPr="009825B3">
        <w:rPr>
          <w:rFonts w:ascii="Times New Roman" w:eastAsia="Times New Roman" w:hAnsi="Times New Roman" w:cs="Times New Roman"/>
          <w:b/>
          <w:bCs/>
          <w:sz w:val="28"/>
          <w:szCs w:val="28"/>
          <w:lang w:eastAsia="es-MX"/>
        </w:rPr>
        <w:t>La teoría de los capitales</w:t>
      </w:r>
    </w:p>
    <w:p w14:paraId="26B069E2" w14:textId="1ECB1E58" w:rsidR="002255E0" w:rsidRPr="002255E0"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t>De acuerdo con Schutz (1972), el individuo guía su acción dentro del mundo de la vida cotidiana a partir del acervo de conocimientos. El sentido de la acción del individuo está determinado por el acervo de conocimientos; éste refiere al conocimiento socialmente construido y transmitido a las nuevas generaciones, a través del proceso de socialización (Berger y Luckman</w:t>
      </w:r>
      <w:r w:rsidR="00360D8A">
        <w:rPr>
          <w:rFonts w:ascii="Times New Roman" w:eastAsia="Times New Roman" w:hAnsi="Times New Roman" w:cs="Times New Roman"/>
          <w:sz w:val="24"/>
          <w:szCs w:val="24"/>
          <w:lang w:eastAsia="es-MX"/>
        </w:rPr>
        <w:t>, 1976</w:t>
      </w:r>
      <w:r w:rsidRPr="002255E0">
        <w:rPr>
          <w:rFonts w:ascii="Times New Roman" w:eastAsia="Times New Roman" w:hAnsi="Times New Roman" w:cs="Times New Roman"/>
          <w:sz w:val="24"/>
          <w:szCs w:val="24"/>
          <w:lang w:eastAsia="es-MX"/>
        </w:rPr>
        <w:t xml:space="preserve">). El acervo de conocimientos implica una </w:t>
      </w:r>
      <w:proofErr w:type="spellStart"/>
      <w:r w:rsidRPr="002255E0">
        <w:rPr>
          <w:rFonts w:ascii="Times New Roman" w:eastAsia="Times New Roman" w:hAnsi="Times New Roman" w:cs="Times New Roman"/>
          <w:sz w:val="24"/>
          <w:szCs w:val="24"/>
          <w:lang w:eastAsia="es-MX"/>
        </w:rPr>
        <w:t>tipologización</w:t>
      </w:r>
      <w:proofErr w:type="spellEnd"/>
      <w:r w:rsidRPr="002255E0">
        <w:rPr>
          <w:rFonts w:ascii="Times New Roman" w:eastAsia="Times New Roman" w:hAnsi="Times New Roman" w:cs="Times New Roman"/>
          <w:sz w:val="24"/>
          <w:szCs w:val="24"/>
          <w:lang w:eastAsia="es-MX"/>
        </w:rPr>
        <w:t xml:space="preserve"> del mundo inmediato, mediato y remoto en el que acontece la vida del individuo. El entorno inmediato es familiar y significativo para el individuo, es pleno de sentido y de significado, lo cual permite la acción natural, es decir, se actúa de manera natural, conocida. Las tipologías que ofrece el acervo de </w:t>
      </w:r>
      <w:r w:rsidR="00483A39" w:rsidRPr="002255E0">
        <w:rPr>
          <w:rFonts w:ascii="Times New Roman" w:eastAsia="Times New Roman" w:hAnsi="Times New Roman" w:cs="Times New Roman"/>
          <w:sz w:val="24"/>
          <w:szCs w:val="24"/>
          <w:lang w:eastAsia="es-MX"/>
        </w:rPr>
        <w:t>conocimientos</w:t>
      </w:r>
      <w:r w:rsidRPr="002255E0">
        <w:rPr>
          <w:rFonts w:ascii="Times New Roman" w:eastAsia="Times New Roman" w:hAnsi="Times New Roman" w:cs="Times New Roman"/>
          <w:sz w:val="24"/>
          <w:szCs w:val="24"/>
          <w:lang w:eastAsia="es-MX"/>
        </w:rPr>
        <w:t xml:space="preserve"> son más ricas y abundantes cuando se refieren a objetos del mundo conocido, del mundo familiar. Conforme el individuo se aleja del entorno inmediato las tipologías y el acervo de conocimientos se vuelven más abstractas, más vacías de contenido y requieren un esfuerzo mayor de aprendizajes para llenar de contenido a las tipologías que permiten la comprensión del mundo. El contacto social, genera experiencias que se traducen en conocimientos que se incorporan en el acervo de conocimientos.</w:t>
      </w:r>
    </w:p>
    <w:p w14:paraId="58DABF91" w14:textId="77777777" w:rsidR="002255E0" w:rsidRPr="002255E0"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t>El acervo de conocimientos tiene incorporadas tipologías sobre los objetos presentes, pasados y futuros. Digamos que el acervo de conocimientos provee los mapas que permiten el movimiento del individuo en un radio de acción multidimensional: temporal (pasado, presente y futuro); social (nosotros, ellos, otros); espacial (aquí, allá) (Schutz, 1974). Esto es importante de considerar para comprender la asistencia escolar de los jóvenes que aquí estudiamos. El sentido de la acción escolar de los jóvenes está determinado por el acervo de conocimientos que tengan incorporado dada su historia biográfica y familiar, la cual es afectada por el entorno espacial en el que vivan. Su acervo de conocimientos construido en las experiencias individuales, familiares y de la historia familiar, así como del espacio social y espacial en el que interactúen influye en el horizonte de posibilidades que consideran deseable y alcanzable para sí mismo y el nosotros incorporado a través de experiencias de interacción.</w:t>
      </w:r>
    </w:p>
    <w:p w14:paraId="5AF40DEB" w14:textId="77777777" w:rsidR="002255E0" w:rsidRPr="002255E0"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t xml:space="preserve">Ahora bien, este esquema que guía la acción es enriquecido por la perspectiva de los campos elaborada por Bourdieu (1997b). Para él la sociedad es un espacio social con relieves, lo que significa que los individuos ocupan posiciones en los relieves de lo social, lo que refiere a las posiciones sociales. Estas posiciones sociales determinan el alcance de la mirada de los individuos. La acción social, para Bourdieu (1997b) ocurre dentro del espacio social en </w:t>
      </w:r>
      <w:r w:rsidRPr="002255E0">
        <w:rPr>
          <w:rFonts w:ascii="Times New Roman" w:eastAsia="Times New Roman" w:hAnsi="Times New Roman" w:cs="Times New Roman"/>
          <w:sz w:val="24"/>
          <w:szCs w:val="24"/>
          <w:lang w:eastAsia="es-MX"/>
        </w:rPr>
        <w:lastRenderedPageBreak/>
        <w:t xml:space="preserve">general, y de manera particular en campos de acción. Existen múltiples campos: el económico, el educativo, el religioso, el científico, etc. La acción dentro de los campos está regulada por reglas del juego y lo que se juega en el campo es la posesión de capitales. En cada campo hay un capital valioso, cuya posesión permite la mayor o menor posición dentro del campo. Así, en el campo escolar, el capital valioso que permite el posicionamiento dentro del campo es el capital cultural en su forma material y en su forma subjetivada. Esto significa que para poder realizar un buen desempeño escolar se precisa tanto de contar con bienes culturales; como del consumo de estos bienes de manera que permitan desarrollar habilidades que son valiosas dentro del sistema escolar. Así, por ejemplo, contar con libros, videos, computadora, acceso a internet y consumirlos de tal manera que incrementen el acervo de conocimientos que permitan el desarrollo de habilidades de escritura, lectura, comprensión y disfrute, permiten la acumulación de capital cultural en su forma subjetivada. </w:t>
      </w:r>
    </w:p>
    <w:p w14:paraId="5FC6CDF4" w14:textId="77777777" w:rsidR="002255E0" w:rsidRPr="002255E0"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t>Ahora bien, este desarrollo de habilidades, altamente valoradas en el sistema escolar, entra en interacción con el mismo sistema escolar, de tal manera que permite que en el espacio escolar el estudiante se sienta en su espacio natural, familiar, y sea reconocido como un nosotros por parte de los que guían y socializan a los jóvenes. En caso contrario, es decir, en caso de que la acumulación de capital cultural en su forma subjetivada, pero sostenida por el capital cultural en su forma material, no ocurra o se dé de manera deficiente, hará que el individuo no se sienta en el espacio escolar como en un espacio familiar, de lo conocido, y se vuelva un espacio hostil, del que se quiera alejar, pues se vuelve un espacio que cuesta trabajo conocer, un espacio no familiar, extraño.</w:t>
      </w:r>
    </w:p>
    <w:p w14:paraId="68D804D2" w14:textId="77777777" w:rsidR="002255E0" w:rsidRPr="002255E0"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t xml:space="preserve">Ahora bien, es importante mencionar que la acumulación de capital cultural se genera dentro de un proceso de socialización múltiple (Berger y Luckman: 1968), donde mínimamente interactúan dos dimensiones sociales: por un lado, la de la familia y, por otro lado, la de la escuela. La familia es quien genera la socialización primaria del individuo, incorpora normas, valores, reglas y significados del género y de la posición social. Esta incorporación retoma saberes y significados de la historia biográfica y familiar de los agentes socializadores, así como de los generados en las experiencias vividas por los agentes socializadores en sus espacios específicos en que se desenvuelve su vida cotidiana, esto es del contexto social, espacial, laboral y económico en el que acontece la vida de los individuos. </w:t>
      </w:r>
    </w:p>
    <w:p w14:paraId="423DDDCE" w14:textId="62A3B2DA" w:rsidR="002255E0" w:rsidRPr="002255E0"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t>Con esta socialización primaria se incorpora un lenguaje que contiene el acervo de conocimientos familiar (Berger y Luckman, 19</w:t>
      </w:r>
      <w:r w:rsidR="0074518F">
        <w:rPr>
          <w:rFonts w:ascii="Times New Roman" w:eastAsia="Times New Roman" w:hAnsi="Times New Roman" w:cs="Times New Roman"/>
          <w:sz w:val="24"/>
          <w:szCs w:val="24"/>
          <w:lang w:eastAsia="es-MX"/>
        </w:rPr>
        <w:t>76</w:t>
      </w:r>
      <w:r w:rsidRPr="002255E0">
        <w:rPr>
          <w:rFonts w:ascii="Times New Roman" w:eastAsia="Times New Roman" w:hAnsi="Times New Roman" w:cs="Times New Roman"/>
          <w:sz w:val="24"/>
          <w:szCs w:val="24"/>
          <w:lang w:eastAsia="es-MX"/>
        </w:rPr>
        <w:t xml:space="preserve">), que guía las formas de significar y de actuar de los individuos. De modo que, para entender el proceso de acumulación de capital </w:t>
      </w:r>
      <w:r w:rsidRPr="002255E0">
        <w:rPr>
          <w:rFonts w:ascii="Times New Roman" w:eastAsia="Times New Roman" w:hAnsi="Times New Roman" w:cs="Times New Roman"/>
          <w:sz w:val="24"/>
          <w:szCs w:val="24"/>
          <w:lang w:eastAsia="es-MX"/>
        </w:rPr>
        <w:lastRenderedPageBreak/>
        <w:t xml:space="preserve">cultural en su forma subjetivada, se precisa de comprender primero la socialización a la que están expuestos los individuos. Esto significa que, dado el acervo de conocimientos de los agentes socializadores, lo que el individuo incorpora en su ser y que constituirá su hábitus o los esquemas que guíen su interpretación y acción en el mundo social, son los significados que sobre el mundo le hayan sido transmitidos. Lo anterior significa que los agentes socializadores, dada su posición en el espacio social, dado el acceso al tipo de trabajo, al ingreso económico que perciban y al tipo de bienes que consideren deseables y significativos para reproducir su vida significativa, van a posibilitar el acceso de los individuos en socialización, a determinados significados de vida y los bienes materiales que lo sostienen. </w:t>
      </w:r>
    </w:p>
    <w:p w14:paraId="5A7308CB" w14:textId="77777777" w:rsidR="002255E0" w:rsidRPr="002255E0"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t xml:space="preserve">De modo, pues, que la socialización y la acumulación de capital cultural en su forma subjetivada, depende de las posiciones sociales de los agentes socializadores; de su mundo de vida en el que se desenvuelve su acción. Esto, traducido a nuestro interés por comprender la asistencia escolar de los jóvenes, significa que la posibilidad de que los jóvenes continúen estudiando o no, depende del grado de significancia que adquiera para ellos la asistencia escolar, dada la incorporación que han hecho del mundo significativo de los agentes que los han socializado en la socialización primaria. </w:t>
      </w:r>
    </w:p>
    <w:p w14:paraId="4F91E251" w14:textId="77777777" w:rsidR="002255E0" w:rsidRPr="002255E0"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t xml:space="preserve">Desde un ángulo de los capitales es importante, pues, considerar el capital social con el que cuentan los individuos. El capital social se ha definido como el acceso a los recursos con los que cuentan los individuos dada su participación en una red de interacción significativa (Bourdieu, 1997b). En este sentido, los recursos con los que cuentan los agentes socializadores, es parte del capital social de los sujetos en socialización. Esto también significa que el acervo de conocimientos de los agentes socializadores está disponible para los sujetos en socialización. Los recursos con los que cuentan los agentes socializadores incluyen conocimientos sobre diferentes aspectos de la vida, sobre saberes académicos, por ejemplo, sobre formas de actuar ante conflictos, entre muchos otros. También incluyen, desde luego los recursos materiales a los que les permite acceder sus ingresos económicos, y por supuesto, el significado que confieren a los objetos, que los hace deseables de ser consumidos o no. De modo que, traducidos a un lenguaje de los capitales y para los objetivos del presente documento, diremos que el capital social de los agentes socializadores puede ser entendido como los saberes que pueden ofrecer a los individuos en socialización para hacer significativo el espacio escolar. También diremos que el ingreso obtenido por trabajo es parte del capital económico; que se entiende como el ingreso monetario que puede ser invertido en cualquier bien, y puede funcionar como generador de otros capitales. </w:t>
      </w:r>
    </w:p>
    <w:p w14:paraId="406EB0C6" w14:textId="77B533FD" w:rsidR="003A1ECB" w:rsidRDefault="002255E0" w:rsidP="005A17FA">
      <w:pPr>
        <w:spacing w:after="0" w:line="360" w:lineRule="auto"/>
        <w:jc w:val="both"/>
        <w:rPr>
          <w:rFonts w:ascii="Times New Roman" w:eastAsia="Times New Roman" w:hAnsi="Times New Roman" w:cs="Times New Roman"/>
          <w:sz w:val="24"/>
          <w:szCs w:val="24"/>
          <w:lang w:eastAsia="es-MX"/>
        </w:rPr>
      </w:pPr>
      <w:r w:rsidRPr="002255E0">
        <w:rPr>
          <w:rFonts w:ascii="Times New Roman" w:eastAsia="Times New Roman" w:hAnsi="Times New Roman" w:cs="Times New Roman"/>
          <w:sz w:val="24"/>
          <w:szCs w:val="24"/>
          <w:lang w:eastAsia="es-MX"/>
        </w:rPr>
        <w:lastRenderedPageBreak/>
        <w:t>Desde una óptica de los capitales, podemos decir que la asistencia escolar de los jóvenes depende de la acumulación de capital social, de capital cultural y de capital económico. Bourdieu (1997a), a esta suma de capitales, le llama la acumulación global de capital. Pueden ocurrir diferentes formas y montos en que se acumulen los capitales, pero el volumen global de capital va a influir en la posición que ocupará el individuo en el espacio social y el campo en particular, que se esté observando. Para nuestro caso, podemos decir que el volumen global de capital, compuesto por la acumulación de capital económico, capital cultural y capital social, predice la asistencia escolar. Así, a mayor volumen global de capital, mayores probabilidades de que el individuo se mantenga en el espacio escolar. Ahora bien, no podemos pensar que esta acumulación de capital se mueva fuera del espacio en el que ocurre el mundo de la vida cotidiana de los individuos, de modo que estas diferencias de acumulación de capitales se sostienen en los diferentes espacios sociales en que se desarrolla la vida cotidiana de los individuos. En términos, más sencillos, no existe una medida absoluta de acumulación de capital que determine la asistencia escolar o no. Sino que el monto de acumulación global de capital es relativo al espacio social y geográfico en el que acontece la vida cotidiana de los individuos.</w:t>
      </w:r>
    </w:p>
    <w:p w14:paraId="4586F86F" w14:textId="77777777" w:rsidR="005A17FA" w:rsidRDefault="005A17FA" w:rsidP="005A17FA">
      <w:pPr>
        <w:spacing w:after="0" w:line="240" w:lineRule="auto"/>
        <w:jc w:val="center"/>
        <w:rPr>
          <w:rFonts w:ascii="Times New Roman" w:eastAsia="Times New Roman" w:hAnsi="Times New Roman" w:cs="Times New Roman"/>
          <w:b/>
          <w:bCs/>
          <w:sz w:val="32"/>
          <w:szCs w:val="32"/>
          <w:lang w:eastAsia="es-MX"/>
        </w:rPr>
      </w:pPr>
    </w:p>
    <w:p w14:paraId="5F4490AC" w14:textId="35061601" w:rsidR="004648AE" w:rsidRPr="009825B3" w:rsidRDefault="004648AE" w:rsidP="005A17FA">
      <w:pPr>
        <w:spacing w:after="0" w:line="240" w:lineRule="auto"/>
        <w:jc w:val="center"/>
        <w:rPr>
          <w:rFonts w:ascii="Times New Roman" w:eastAsia="Times New Roman" w:hAnsi="Times New Roman" w:cs="Times New Roman"/>
          <w:b/>
          <w:bCs/>
          <w:sz w:val="32"/>
          <w:szCs w:val="32"/>
          <w:lang w:eastAsia="es-MX"/>
        </w:rPr>
      </w:pPr>
      <w:r w:rsidRPr="009825B3">
        <w:rPr>
          <w:rFonts w:ascii="Times New Roman" w:eastAsia="Times New Roman" w:hAnsi="Times New Roman" w:cs="Times New Roman"/>
          <w:b/>
          <w:bCs/>
          <w:sz w:val="32"/>
          <w:szCs w:val="32"/>
          <w:lang w:eastAsia="es-MX"/>
        </w:rPr>
        <w:t>Metodología</w:t>
      </w:r>
    </w:p>
    <w:p w14:paraId="646F0BAC" w14:textId="701709CF" w:rsidR="004648AE" w:rsidRPr="004648AE" w:rsidRDefault="004648AE" w:rsidP="005A17FA">
      <w:pPr>
        <w:spacing w:after="0" w:line="360" w:lineRule="auto"/>
        <w:jc w:val="both"/>
        <w:rPr>
          <w:rFonts w:ascii="Times New Roman" w:eastAsia="Times New Roman" w:hAnsi="Times New Roman" w:cs="Times New Roman"/>
          <w:sz w:val="24"/>
          <w:szCs w:val="24"/>
          <w:lang w:eastAsia="es-MX"/>
        </w:rPr>
      </w:pPr>
      <w:r w:rsidRPr="004648AE">
        <w:rPr>
          <w:rFonts w:ascii="Times New Roman" w:eastAsia="Times New Roman" w:hAnsi="Times New Roman" w:cs="Times New Roman"/>
          <w:sz w:val="24"/>
          <w:szCs w:val="24"/>
          <w:lang w:eastAsia="es-MX"/>
        </w:rPr>
        <w:t xml:space="preserve">Dado que el objetivo de la investigación era evaluar el peso de los capitales social, material y económico como variables que explican la </w:t>
      </w:r>
      <w:r w:rsidR="00D42F01">
        <w:rPr>
          <w:rFonts w:ascii="Times New Roman" w:eastAsia="Times New Roman" w:hAnsi="Times New Roman" w:cs="Times New Roman"/>
          <w:sz w:val="24"/>
          <w:szCs w:val="24"/>
          <w:lang w:eastAsia="es-MX"/>
        </w:rPr>
        <w:t>asistencia</w:t>
      </w:r>
      <w:r w:rsidRPr="004648AE">
        <w:rPr>
          <w:rFonts w:ascii="Times New Roman" w:eastAsia="Times New Roman" w:hAnsi="Times New Roman" w:cs="Times New Roman"/>
          <w:sz w:val="24"/>
          <w:szCs w:val="24"/>
          <w:lang w:eastAsia="es-MX"/>
        </w:rPr>
        <w:t xml:space="preserve"> escolar de los jóvenes de México, de </w:t>
      </w:r>
      <w:r w:rsidR="00D42F01">
        <w:rPr>
          <w:rFonts w:ascii="Times New Roman" w:eastAsia="Times New Roman" w:hAnsi="Times New Roman" w:cs="Times New Roman"/>
          <w:sz w:val="24"/>
          <w:szCs w:val="24"/>
          <w:lang w:eastAsia="es-MX"/>
        </w:rPr>
        <w:t xml:space="preserve">acuerdo con </w:t>
      </w:r>
      <w:r w:rsidR="00331C3B">
        <w:rPr>
          <w:rFonts w:ascii="Times New Roman" w:eastAsia="Times New Roman" w:hAnsi="Times New Roman" w:cs="Times New Roman"/>
          <w:sz w:val="24"/>
          <w:szCs w:val="24"/>
          <w:lang w:eastAsia="es-MX"/>
        </w:rPr>
        <w:t>la condición migratoria internacional de la jefatura de hogar, para</w:t>
      </w:r>
      <w:r w:rsidRPr="004648AE">
        <w:rPr>
          <w:rFonts w:ascii="Times New Roman" w:eastAsia="Times New Roman" w:hAnsi="Times New Roman" w:cs="Times New Roman"/>
          <w:sz w:val="24"/>
          <w:szCs w:val="24"/>
          <w:lang w:eastAsia="es-MX"/>
        </w:rPr>
        <w:t xml:space="preserve"> los años 2000, 2010 y 2015, para su operacionalización recurrimos a los microdatos del censo de población y vivienda de México de 2000 (INEGI, 2000) y 2010 (INEGI, 2010), y los microdatos de la Encuesta Intercensal 2015 (INEGI,2015). </w:t>
      </w:r>
    </w:p>
    <w:p w14:paraId="131FA2A0" w14:textId="7E208068" w:rsidR="004648AE" w:rsidRPr="004648AE" w:rsidRDefault="004648AE" w:rsidP="005A17FA">
      <w:pPr>
        <w:spacing w:after="0" w:line="360" w:lineRule="auto"/>
        <w:jc w:val="both"/>
        <w:rPr>
          <w:rFonts w:ascii="Times New Roman" w:eastAsia="Times New Roman" w:hAnsi="Times New Roman" w:cs="Times New Roman"/>
          <w:sz w:val="24"/>
          <w:szCs w:val="24"/>
          <w:lang w:eastAsia="es-MX"/>
        </w:rPr>
      </w:pPr>
      <w:r w:rsidRPr="004648AE">
        <w:rPr>
          <w:rFonts w:ascii="Times New Roman" w:eastAsia="Times New Roman" w:hAnsi="Times New Roman" w:cs="Times New Roman"/>
          <w:sz w:val="24"/>
          <w:szCs w:val="24"/>
          <w:lang w:eastAsia="es-MX"/>
        </w:rPr>
        <w:t xml:space="preserve">En la base de individuos, para cada uno de los censos y la encuesta intercensal, construimos las siguientes variables: </w:t>
      </w:r>
      <w:proofErr w:type="gramStart"/>
      <w:r w:rsidR="00B104FA">
        <w:rPr>
          <w:rFonts w:ascii="Times New Roman" w:eastAsia="Times New Roman" w:hAnsi="Times New Roman" w:cs="Times New Roman"/>
          <w:sz w:val="24"/>
          <w:szCs w:val="24"/>
          <w:lang w:eastAsia="es-MX"/>
        </w:rPr>
        <w:t>Jefe</w:t>
      </w:r>
      <w:proofErr w:type="gramEnd"/>
      <w:r w:rsidR="00B104FA">
        <w:rPr>
          <w:rFonts w:ascii="Times New Roman" w:eastAsia="Times New Roman" w:hAnsi="Times New Roman" w:cs="Times New Roman"/>
          <w:sz w:val="24"/>
          <w:szCs w:val="24"/>
          <w:lang w:eastAsia="es-MX"/>
        </w:rPr>
        <w:t xml:space="preserve"> de hogar retornado, jefe de hogar no migrante, </w:t>
      </w:r>
      <w:r w:rsidRPr="004648AE">
        <w:rPr>
          <w:rFonts w:ascii="Times New Roman" w:eastAsia="Times New Roman" w:hAnsi="Times New Roman" w:cs="Times New Roman"/>
          <w:sz w:val="24"/>
          <w:szCs w:val="24"/>
          <w:lang w:eastAsia="es-MX"/>
        </w:rPr>
        <w:t>jóvenes</w:t>
      </w:r>
      <w:r w:rsidR="00B104FA">
        <w:rPr>
          <w:rFonts w:ascii="Times New Roman" w:eastAsia="Times New Roman" w:hAnsi="Times New Roman" w:cs="Times New Roman"/>
          <w:sz w:val="24"/>
          <w:szCs w:val="24"/>
          <w:lang w:eastAsia="es-MX"/>
        </w:rPr>
        <w:t xml:space="preserve"> </w:t>
      </w:r>
      <w:r w:rsidR="00E91548">
        <w:rPr>
          <w:rFonts w:ascii="Times New Roman" w:eastAsia="Times New Roman" w:hAnsi="Times New Roman" w:cs="Times New Roman"/>
          <w:sz w:val="24"/>
          <w:szCs w:val="24"/>
          <w:lang w:eastAsia="es-MX"/>
        </w:rPr>
        <w:t xml:space="preserve">y niños </w:t>
      </w:r>
      <w:r w:rsidR="00B104FA">
        <w:rPr>
          <w:rFonts w:ascii="Times New Roman" w:eastAsia="Times New Roman" w:hAnsi="Times New Roman" w:cs="Times New Roman"/>
          <w:sz w:val="24"/>
          <w:szCs w:val="24"/>
          <w:lang w:eastAsia="es-MX"/>
        </w:rPr>
        <w:t xml:space="preserve">de </w:t>
      </w:r>
      <w:r w:rsidR="00E91548">
        <w:rPr>
          <w:rFonts w:ascii="Times New Roman" w:eastAsia="Times New Roman" w:hAnsi="Times New Roman" w:cs="Times New Roman"/>
          <w:sz w:val="24"/>
          <w:szCs w:val="24"/>
          <w:lang w:eastAsia="es-MX"/>
        </w:rPr>
        <w:t>entre 6 y 22</w:t>
      </w:r>
      <w:r w:rsidRPr="004648AE">
        <w:rPr>
          <w:rFonts w:ascii="Times New Roman" w:eastAsia="Times New Roman" w:hAnsi="Times New Roman" w:cs="Times New Roman"/>
          <w:sz w:val="24"/>
          <w:szCs w:val="24"/>
          <w:lang w:eastAsia="es-MX"/>
        </w:rPr>
        <w:t xml:space="preserve"> años de edad que asisten a la escuela; </w:t>
      </w:r>
      <w:r w:rsidR="008A42C3">
        <w:rPr>
          <w:rFonts w:ascii="Times New Roman" w:eastAsia="Times New Roman" w:hAnsi="Times New Roman" w:cs="Times New Roman"/>
          <w:sz w:val="24"/>
          <w:szCs w:val="24"/>
          <w:lang w:eastAsia="es-MX"/>
        </w:rPr>
        <w:t>niños y jóvenes de entre 6 y 22</w:t>
      </w:r>
      <w:r w:rsidRPr="004648AE">
        <w:rPr>
          <w:rFonts w:ascii="Times New Roman" w:eastAsia="Times New Roman" w:hAnsi="Times New Roman" w:cs="Times New Roman"/>
          <w:sz w:val="24"/>
          <w:szCs w:val="24"/>
          <w:lang w:eastAsia="es-MX"/>
        </w:rPr>
        <w:t xml:space="preserve"> años de edad que no asisten a la escuela. </w:t>
      </w:r>
    </w:p>
    <w:p w14:paraId="3FAE7F22" w14:textId="77777777" w:rsidR="004648AE" w:rsidRPr="004648AE" w:rsidRDefault="004648AE" w:rsidP="005A17FA">
      <w:pPr>
        <w:spacing w:after="0" w:line="360" w:lineRule="auto"/>
        <w:jc w:val="both"/>
        <w:rPr>
          <w:rFonts w:ascii="Times New Roman" w:eastAsia="Times New Roman" w:hAnsi="Times New Roman" w:cs="Times New Roman"/>
          <w:sz w:val="24"/>
          <w:szCs w:val="24"/>
          <w:lang w:eastAsia="es-MX"/>
        </w:rPr>
      </w:pPr>
      <w:r w:rsidRPr="004648AE">
        <w:rPr>
          <w:rFonts w:ascii="Times New Roman" w:eastAsia="Times New Roman" w:hAnsi="Times New Roman" w:cs="Times New Roman"/>
          <w:sz w:val="24"/>
          <w:szCs w:val="24"/>
          <w:lang w:eastAsia="es-MX"/>
        </w:rPr>
        <w:t xml:space="preserve">La variable de capital social la denominamos capital social positivo. El capital social positivo se construyó de la siguiente manera: personas mayores de 24 años que tuvieran un nivel escolar mayor o igual a nivel medio superior. Se tomó esta consideración bajo el siguiente supuesto: para que el capital social sea una fuente de recursos para el joven, de modo que esos recursos le contribuyan para mantener al estudiante en el sistema escolar, se precisa que </w:t>
      </w:r>
      <w:r w:rsidRPr="004648AE">
        <w:rPr>
          <w:rFonts w:ascii="Times New Roman" w:eastAsia="Times New Roman" w:hAnsi="Times New Roman" w:cs="Times New Roman"/>
          <w:sz w:val="24"/>
          <w:szCs w:val="24"/>
          <w:lang w:eastAsia="es-MX"/>
        </w:rPr>
        <w:lastRenderedPageBreak/>
        <w:t xml:space="preserve">los miembros de la red social cuenten con los conocimientos a los que puede acceder el joven en caso de que los necesite. Por otra parte, consideramos que, si las personas del círculo familiar que rodean al joven cuentan con un nivel de escolaridad menor al que está estudiando el joven, entonces los miembros de esa red social no podrán transferirle recursos de conocimiento cuando los requiera el joven, pues los miembros de la red no poseen tales conocimientos, de modo que el nivel de escolaridad de los miembros de la red actuará de manera negativa, desincentivando al joven a continuar con sus estudios. Una vez que se tuvieron las variables de jóvenes que asisten y los que no asisten, y las variables de capital social positivo, estas variables se agruparon en hogares y fueron llevadas a la base de hogares y viviendas. </w:t>
      </w:r>
    </w:p>
    <w:p w14:paraId="24501F3C" w14:textId="11EDABA3" w:rsidR="004648AE" w:rsidRPr="004648AE" w:rsidRDefault="004648AE" w:rsidP="005A17FA">
      <w:pPr>
        <w:spacing w:after="0" w:line="360" w:lineRule="auto"/>
        <w:jc w:val="both"/>
        <w:rPr>
          <w:rFonts w:ascii="Times New Roman" w:eastAsia="Times New Roman" w:hAnsi="Times New Roman" w:cs="Times New Roman"/>
          <w:sz w:val="24"/>
          <w:szCs w:val="24"/>
          <w:lang w:eastAsia="es-MX"/>
        </w:rPr>
      </w:pPr>
      <w:r w:rsidRPr="004648AE">
        <w:rPr>
          <w:rFonts w:ascii="Times New Roman" w:eastAsia="Times New Roman" w:hAnsi="Times New Roman" w:cs="Times New Roman"/>
          <w:sz w:val="24"/>
          <w:szCs w:val="24"/>
          <w:lang w:eastAsia="es-MX"/>
        </w:rPr>
        <w:t xml:space="preserve">En la base de hogares, con las variables de jóvenes que asisten y jóvenes que no asisten, se construyó una nueva variable que se llamó Hogares con jóvenes que asisten o no asisten a la escuela, la cual tenía tres categorías: 1) Hogares con jóvenes que asisten; 2) Hogares con jóvenes que asisten y no asisten; 3) Hogares con jóvenes que no asisten. </w:t>
      </w:r>
      <w:r w:rsidR="009E76BB">
        <w:rPr>
          <w:rFonts w:ascii="Times New Roman" w:eastAsia="Times New Roman" w:hAnsi="Times New Roman" w:cs="Times New Roman"/>
          <w:sz w:val="24"/>
          <w:szCs w:val="24"/>
          <w:lang w:eastAsia="es-MX"/>
        </w:rPr>
        <w:t xml:space="preserve">También en esa base de datos de hogares se construyó la variable </w:t>
      </w:r>
      <w:r w:rsidR="00A20C82">
        <w:rPr>
          <w:rFonts w:ascii="Times New Roman" w:eastAsia="Times New Roman" w:hAnsi="Times New Roman" w:cs="Times New Roman"/>
          <w:sz w:val="24"/>
          <w:szCs w:val="24"/>
          <w:lang w:eastAsia="es-MX"/>
        </w:rPr>
        <w:t>jefatura de hogar según condición migratoria, con las categorías hogar jefaturado por retornado, y hogar jefaturado por no migrante.</w:t>
      </w:r>
    </w:p>
    <w:p w14:paraId="08EA5493" w14:textId="75755AFA" w:rsidR="004648AE" w:rsidRPr="004648AE" w:rsidRDefault="004648AE" w:rsidP="005A17FA">
      <w:pPr>
        <w:spacing w:after="0" w:line="360" w:lineRule="auto"/>
        <w:jc w:val="both"/>
        <w:rPr>
          <w:rFonts w:ascii="Times New Roman" w:eastAsia="Times New Roman" w:hAnsi="Times New Roman" w:cs="Times New Roman"/>
          <w:sz w:val="24"/>
          <w:szCs w:val="24"/>
          <w:lang w:eastAsia="es-MX"/>
        </w:rPr>
      </w:pPr>
      <w:r w:rsidRPr="004648AE">
        <w:rPr>
          <w:rFonts w:ascii="Times New Roman" w:eastAsia="Times New Roman" w:hAnsi="Times New Roman" w:cs="Times New Roman"/>
          <w:sz w:val="24"/>
          <w:szCs w:val="24"/>
          <w:lang w:eastAsia="es-MX"/>
        </w:rPr>
        <w:t xml:space="preserve">En la misma base de hogares se crearon las variables de capital cultural y capital económico. La variable de capital cultural material, para el año 2000 se formó de la adición de los siguientes seis bienes materiales: radio, televisión, video casetera, teléfono y computadora, y se escaló a base 10, para que fuera comparable con los años 2010 y 2015. En la base de datos de 2010 la variable de capital cultural material también se formó de la suma de seis bienes materiales (radio, televisión, computadora, teléfono, celular e internet), y fue escalada a base 10. En la base de datos del año 2015 se adicionaron 8 bienes para construir la variable de capital cultural y se escalaron a base 10: radio, televisor, televisor de pantalla plana, computadora, teléfono, celular, internet y tv de paga.  La variable de capital económico se construyó como el ingreso per cápita en salarios mínimos mensualizados. Por medio de la adición de las variables de capital social positivo, capital cultural material y capital económico, se construyó la variable de volumen global de capital. </w:t>
      </w:r>
    </w:p>
    <w:p w14:paraId="3A508652" w14:textId="1C389B57" w:rsidR="004648AE" w:rsidRDefault="004648AE" w:rsidP="005A17FA">
      <w:pPr>
        <w:spacing w:after="0" w:line="360" w:lineRule="auto"/>
        <w:jc w:val="both"/>
        <w:rPr>
          <w:rFonts w:ascii="Times New Roman" w:eastAsia="Times New Roman" w:hAnsi="Times New Roman" w:cs="Times New Roman"/>
          <w:sz w:val="24"/>
          <w:szCs w:val="24"/>
          <w:lang w:eastAsia="es-MX"/>
        </w:rPr>
      </w:pPr>
      <w:r w:rsidRPr="004648AE">
        <w:rPr>
          <w:rFonts w:ascii="Times New Roman" w:eastAsia="Times New Roman" w:hAnsi="Times New Roman" w:cs="Times New Roman"/>
          <w:sz w:val="24"/>
          <w:szCs w:val="24"/>
          <w:lang w:eastAsia="es-MX"/>
        </w:rPr>
        <w:t>Con la finalidad de probar la hipótesis planteada, que sostiene que, a mayor volumen global de capital, hay mayores probabilidades de mantenerse en el sistema escolar, se hicieron análisis de varianzas para ver las diferencias de las medias de cada uno de los capitales y del volumen global de capital, entre las tres categorías de los hogares según asistencia o no de los jóvenes a la escuela</w:t>
      </w:r>
      <w:r w:rsidR="00E91548">
        <w:rPr>
          <w:rFonts w:ascii="Times New Roman" w:eastAsia="Times New Roman" w:hAnsi="Times New Roman" w:cs="Times New Roman"/>
          <w:sz w:val="24"/>
          <w:szCs w:val="24"/>
          <w:lang w:eastAsia="es-MX"/>
        </w:rPr>
        <w:t>, y según condición migratoria del jefe de hogar</w:t>
      </w:r>
      <w:r w:rsidRPr="004648AE">
        <w:rPr>
          <w:rFonts w:ascii="Times New Roman" w:eastAsia="Times New Roman" w:hAnsi="Times New Roman" w:cs="Times New Roman"/>
          <w:sz w:val="24"/>
          <w:szCs w:val="24"/>
          <w:lang w:eastAsia="es-MX"/>
        </w:rPr>
        <w:t xml:space="preserve">. El análisis de </w:t>
      </w:r>
      <w:r w:rsidRPr="004648AE">
        <w:rPr>
          <w:rFonts w:ascii="Times New Roman" w:eastAsia="Times New Roman" w:hAnsi="Times New Roman" w:cs="Times New Roman"/>
          <w:sz w:val="24"/>
          <w:szCs w:val="24"/>
          <w:lang w:eastAsia="es-MX"/>
        </w:rPr>
        <w:lastRenderedPageBreak/>
        <w:t xml:space="preserve">diferencias de medias de los </w:t>
      </w:r>
      <w:proofErr w:type="gramStart"/>
      <w:r w:rsidRPr="004648AE">
        <w:rPr>
          <w:rFonts w:ascii="Times New Roman" w:eastAsia="Times New Roman" w:hAnsi="Times New Roman" w:cs="Times New Roman"/>
          <w:sz w:val="24"/>
          <w:szCs w:val="24"/>
          <w:lang w:eastAsia="es-MX"/>
        </w:rPr>
        <w:t>capitales,</w:t>
      </w:r>
      <w:proofErr w:type="gramEnd"/>
      <w:r w:rsidRPr="004648AE">
        <w:rPr>
          <w:rFonts w:ascii="Times New Roman" w:eastAsia="Times New Roman" w:hAnsi="Times New Roman" w:cs="Times New Roman"/>
          <w:sz w:val="24"/>
          <w:szCs w:val="24"/>
          <w:lang w:eastAsia="es-MX"/>
        </w:rPr>
        <w:t xml:space="preserve"> se controló por medio de la variable de tamaño de localidad, con cuatro categorías: 1) Localidades menores de 2,500 habitantes; 2) Localidades de 2,500 a 15,000 habitantes; 3) Localidades de 15,000 a 100,000 habitantes; y 4) Localidades de más de 100,000 habitantes.  </w:t>
      </w:r>
    </w:p>
    <w:p w14:paraId="181CAE20" w14:textId="77777777" w:rsidR="005A17FA" w:rsidRDefault="005A17FA" w:rsidP="005A17FA">
      <w:pPr>
        <w:spacing w:after="0" w:line="240" w:lineRule="auto"/>
        <w:jc w:val="center"/>
        <w:rPr>
          <w:rFonts w:ascii="Times New Roman" w:eastAsia="Times New Roman" w:hAnsi="Times New Roman" w:cs="Times New Roman"/>
          <w:b/>
          <w:bCs/>
          <w:sz w:val="32"/>
          <w:szCs w:val="32"/>
          <w:lang w:eastAsia="es-MX"/>
        </w:rPr>
      </w:pPr>
    </w:p>
    <w:p w14:paraId="7D986246" w14:textId="65F58C85" w:rsidR="002255E0" w:rsidRPr="009825B3" w:rsidRDefault="004648AE" w:rsidP="005A17FA">
      <w:pPr>
        <w:spacing w:after="0" w:line="240" w:lineRule="auto"/>
        <w:jc w:val="center"/>
        <w:rPr>
          <w:rFonts w:ascii="Times New Roman" w:eastAsia="Times New Roman" w:hAnsi="Times New Roman" w:cs="Times New Roman"/>
          <w:b/>
          <w:bCs/>
          <w:sz w:val="32"/>
          <w:szCs w:val="32"/>
          <w:lang w:eastAsia="es-MX"/>
        </w:rPr>
      </w:pPr>
      <w:r w:rsidRPr="009825B3">
        <w:rPr>
          <w:rFonts w:ascii="Times New Roman" w:eastAsia="Times New Roman" w:hAnsi="Times New Roman" w:cs="Times New Roman"/>
          <w:b/>
          <w:bCs/>
          <w:sz w:val="32"/>
          <w:szCs w:val="32"/>
          <w:lang w:eastAsia="es-MX"/>
        </w:rPr>
        <w:t>Resultados</w:t>
      </w:r>
    </w:p>
    <w:p w14:paraId="3BBF05EF" w14:textId="006DB01E" w:rsidR="001C09F7" w:rsidRDefault="00FD4EE3"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Las tablas 1 y 2 nos permiten ver que los migrantes de retorno de Estados Unidos son principalmente hombres, y en menor medida mujeres; esto se sostiene a través de</w:t>
      </w:r>
      <w:r w:rsidR="00156600">
        <w:rPr>
          <w:rFonts w:ascii="Times New Roman" w:eastAsia="Times New Roman" w:hAnsi="Times New Roman" w:cs="Times New Roman"/>
          <w:sz w:val="24"/>
          <w:szCs w:val="24"/>
          <w:lang w:eastAsia="es-MX"/>
        </w:rPr>
        <w:t xml:space="preserve"> los 15 años observados en el tiempo. Las edades promedio de los retornados son </w:t>
      </w:r>
      <w:r w:rsidR="0054592A">
        <w:rPr>
          <w:rFonts w:ascii="Times New Roman" w:eastAsia="Times New Roman" w:hAnsi="Times New Roman" w:cs="Times New Roman"/>
          <w:sz w:val="24"/>
          <w:szCs w:val="24"/>
          <w:lang w:eastAsia="es-MX"/>
        </w:rPr>
        <w:t xml:space="preserve">poco mayores de los 30 años; </w:t>
      </w:r>
      <w:r w:rsidR="00205C4E">
        <w:rPr>
          <w:rFonts w:ascii="Times New Roman" w:eastAsia="Times New Roman" w:hAnsi="Times New Roman" w:cs="Times New Roman"/>
          <w:sz w:val="24"/>
          <w:szCs w:val="24"/>
          <w:lang w:eastAsia="es-MX"/>
        </w:rPr>
        <w:t xml:space="preserve">en el tiempo se ha incrementado la edad de los retornados, lo que de manera indirecta señala que las estancias en </w:t>
      </w:r>
      <w:r w:rsidR="00E41853">
        <w:rPr>
          <w:rFonts w:ascii="Times New Roman" w:eastAsia="Times New Roman" w:hAnsi="Times New Roman" w:cs="Times New Roman"/>
          <w:sz w:val="24"/>
          <w:szCs w:val="24"/>
          <w:lang w:eastAsia="es-MX"/>
        </w:rPr>
        <w:t>Estados Unidos se han prolongado, tal como señala la literatura revisada. La tabla 2 también permite ver que las edades de los retornados son mayores a la de las edades de la población que no ha migrado</w:t>
      </w:r>
      <w:r w:rsidR="004F577E">
        <w:rPr>
          <w:rFonts w:ascii="Times New Roman" w:eastAsia="Times New Roman" w:hAnsi="Times New Roman" w:cs="Times New Roman"/>
          <w:sz w:val="24"/>
          <w:szCs w:val="24"/>
          <w:lang w:eastAsia="es-MX"/>
        </w:rPr>
        <w:t>. La escolaridad de los retornados también es mayor que la escolaridad de la población no migrante,</w:t>
      </w:r>
      <w:r w:rsidR="005B3113">
        <w:rPr>
          <w:rFonts w:ascii="Times New Roman" w:eastAsia="Times New Roman" w:hAnsi="Times New Roman" w:cs="Times New Roman"/>
          <w:sz w:val="24"/>
          <w:szCs w:val="24"/>
          <w:lang w:eastAsia="es-MX"/>
        </w:rPr>
        <w:t xml:space="preserve"> lo que da cuenta de la selectividad de los migrantes internacionales, que también ha sido señalado por la literatura. Además, la tabla 2 deja ver que </w:t>
      </w:r>
      <w:r w:rsidR="00426B92">
        <w:rPr>
          <w:rFonts w:ascii="Times New Roman" w:eastAsia="Times New Roman" w:hAnsi="Times New Roman" w:cs="Times New Roman"/>
          <w:sz w:val="24"/>
          <w:szCs w:val="24"/>
          <w:lang w:eastAsia="es-MX"/>
        </w:rPr>
        <w:t xml:space="preserve">en el tiempo se ha venido incrementando la escolaridad de los retornados; lo cual apunta a que las oleadas migratorias </w:t>
      </w:r>
      <w:r w:rsidR="0093079C">
        <w:rPr>
          <w:rFonts w:ascii="Times New Roman" w:eastAsia="Times New Roman" w:hAnsi="Times New Roman" w:cs="Times New Roman"/>
          <w:sz w:val="24"/>
          <w:szCs w:val="24"/>
          <w:lang w:eastAsia="es-MX"/>
        </w:rPr>
        <w:t xml:space="preserve">más recientes han contado con mayores niveles de escolaridad. </w:t>
      </w:r>
    </w:p>
    <w:p w14:paraId="0B0A0ED2" w14:textId="38907F7C" w:rsidR="00824345" w:rsidRDefault="00824345"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Es preciso mencionar el caso de los nacidos en Estados Unidos. La composición por sexo mostrada en la tabla 1 nos permite ver que no hay selectividad en los nacidos en la unión americana, </w:t>
      </w:r>
      <w:r w:rsidR="002E4549">
        <w:rPr>
          <w:rFonts w:ascii="Times New Roman" w:eastAsia="Times New Roman" w:hAnsi="Times New Roman" w:cs="Times New Roman"/>
          <w:sz w:val="24"/>
          <w:szCs w:val="24"/>
          <w:lang w:eastAsia="es-MX"/>
        </w:rPr>
        <w:t xml:space="preserve">si bien ligeramente masculinizada, indica que la presencia en México de personas nacidas en </w:t>
      </w:r>
      <w:r w:rsidR="0052071F">
        <w:rPr>
          <w:rFonts w:ascii="Times New Roman" w:eastAsia="Times New Roman" w:hAnsi="Times New Roman" w:cs="Times New Roman"/>
          <w:sz w:val="24"/>
          <w:szCs w:val="24"/>
          <w:lang w:eastAsia="es-MX"/>
        </w:rPr>
        <w:t xml:space="preserve">el vecino país del norte se trata más bien de familias. En la tabla 2, al observar la edad promedio, notamos que, en efecto, </w:t>
      </w:r>
      <w:r w:rsidR="004A5B32">
        <w:rPr>
          <w:rFonts w:ascii="Times New Roman" w:eastAsia="Times New Roman" w:hAnsi="Times New Roman" w:cs="Times New Roman"/>
          <w:sz w:val="24"/>
          <w:szCs w:val="24"/>
          <w:lang w:eastAsia="es-MX"/>
        </w:rPr>
        <w:t xml:space="preserve">se trata de población joven, de alrededor de los 15 años, y al observar la mediana de la edad vemos que en efecto se trata de población infantil de 8 </w:t>
      </w:r>
      <w:proofErr w:type="gramStart"/>
      <w:r w:rsidR="004A5B32">
        <w:rPr>
          <w:rFonts w:ascii="Times New Roman" w:eastAsia="Times New Roman" w:hAnsi="Times New Roman" w:cs="Times New Roman"/>
          <w:sz w:val="24"/>
          <w:szCs w:val="24"/>
          <w:lang w:eastAsia="es-MX"/>
        </w:rPr>
        <w:t>años de edad</w:t>
      </w:r>
      <w:proofErr w:type="gramEnd"/>
      <w:r w:rsidR="004A07DC">
        <w:rPr>
          <w:rFonts w:ascii="Times New Roman" w:eastAsia="Times New Roman" w:hAnsi="Times New Roman" w:cs="Times New Roman"/>
          <w:sz w:val="24"/>
          <w:szCs w:val="24"/>
          <w:lang w:eastAsia="es-MX"/>
        </w:rPr>
        <w:t>. Esto nos permite confirmar que muchos de los n</w:t>
      </w:r>
      <w:r w:rsidR="00BE0142">
        <w:rPr>
          <w:rFonts w:ascii="Times New Roman" w:eastAsia="Times New Roman" w:hAnsi="Times New Roman" w:cs="Times New Roman"/>
          <w:sz w:val="24"/>
          <w:szCs w:val="24"/>
          <w:lang w:eastAsia="es-MX"/>
        </w:rPr>
        <w:t xml:space="preserve">iños que viven en México, nacidos en Estados Unidos, se encuentran en nuestro país por el retorno de sus padres, quizás como efecto de las repatriaciones, deportaciones, devoluciones y </w:t>
      </w:r>
      <w:r w:rsidR="005E3D27">
        <w:rPr>
          <w:rFonts w:ascii="Times New Roman" w:eastAsia="Times New Roman" w:hAnsi="Times New Roman" w:cs="Times New Roman"/>
          <w:sz w:val="24"/>
          <w:szCs w:val="24"/>
          <w:lang w:eastAsia="es-MX"/>
        </w:rPr>
        <w:t xml:space="preserve">crisis económica de Estados Unidos. </w:t>
      </w:r>
      <w:r w:rsidR="00314D80">
        <w:rPr>
          <w:rFonts w:ascii="Times New Roman" w:eastAsia="Times New Roman" w:hAnsi="Times New Roman" w:cs="Times New Roman"/>
          <w:sz w:val="24"/>
          <w:szCs w:val="24"/>
          <w:lang w:eastAsia="es-MX"/>
        </w:rPr>
        <w:t>Al ser una población joven, la escolaridad es baja, pero no sabemos c</w:t>
      </w:r>
      <w:r w:rsidR="00A379C7">
        <w:rPr>
          <w:rFonts w:ascii="Times New Roman" w:eastAsia="Times New Roman" w:hAnsi="Times New Roman" w:cs="Times New Roman"/>
          <w:sz w:val="24"/>
          <w:szCs w:val="24"/>
          <w:lang w:eastAsia="es-MX"/>
        </w:rPr>
        <w:t xml:space="preserve">ómo se comportará su escolaridad en el futuro, de ahí la importancia de este trabajo. Más adelante veremos que esta población </w:t>
      </w:r>
      <w:r w:rsidR="00491388">
        <w:rPr>
          <w:rFonts w:ascii="Times New Roman" w:eastAsia="Times New Roman" w:hAnsi="Times New Roman" w:cs="Times New Roman"/>
          <w:sz w:val="24"/>
          <w:szCs w:val="24"/>
          <w:lang w:eastAsia="es-MX"/>
        </w:rPr>
        <w:t>asiste en mayor proporción a la escuela, que la población no migrante.</w:t>
      </w:r>
    </w:p>
    <w:p w14:paraId="62A517CC" w14:textId="1ED7A736" w:rsidR="00902BC4" w:rsidRDefault="00902BC4"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cuanto a la ocupación de los retornados, podemos ver en </w:t>
      </w:r>
      <w:r w:rsidR="009D7FE5">
        <w:rPr>
          <w:rFonts w:ascii="Times New Roman" w:eastAsia="Times New Roman" w:hAnsi="Times New Roman" w:cs="Times New Roman"/>
          <w:sz w:val="24"/>
          <w:szCs w:val="24"/>
          <w:lang w:eastAsia="es-MX"/>
        </w:rPr>
        <w:t>el cuadro 1 que cerca de un tercio de los retornados trabajan</w:t>
      </w:r>
      <w:r w:rsidR="00492624">
        <w:rPr>
          <w:rFonts w:ascii="Times New Roman" w:eastAsia="Times New Roman" w:hAnsi="Times New Roman" w:cs="Times New Roman"/>
          <w:sz w:val="24"/>
          <w:szCs w:val="24"/>
          <w:lang w:eastAsia="es-MX"/>
        </w:rPr>
        <w:t xml:space="preserve">. La variabilidad, en el tiempo, de la población retornada que se </w:t>
      </w:r>
      <w:r w:rsidR="00492624">
        <w:rPr>
          <w:rFonts w:ascii="Times New Roman" w:eastAsia="Times New Roman" w:hAnsi="Times New Roman" w:cs="Times New Roman"/>
          <w:sz w:val="24"/>
          <w:szCs w:val="24"/>
          <w:lang w:eastAsia="es-MX"/>
        </w:rPr>
        <w:lastRenderedPageBreak/>
        <w:t>encuentra desempleada</w:t>
      </w:r>
      <w:r w:rsidR="00F743EC">
        <w:rPr>
          <w:rFonts w:ascii="Times New Roman" w:eastAsia="Times New Roman" w:hAnsi="Times New Roman" w:cs="Times New Roman"/>
          <w:sz w:val="24"/>
          <w:szCs w:val="24"/>
          <w:lang w:eastAsia="es-MX"/>
        </w:rPr>
        <w:t xml:space="preserve"> puede deberse a los momentos de llegada</w:t>
      </w:r>
      <w:r w:rsidR="006C2EF6">
        <w:rPr>
          <w:rFonts w:ascii="Times New Roman" w:eastAsia="Times New Roman" w:hAnsi="Times New Roman" w:cs="Times New Roman"/>
          <w:sz w:val="24"/>
          <w:szCs w:val="24"/>
          <w:lang w:eastAsia="es-MX"/>
        </w:rPr>
        <w:t>, pero de alguna manera indica las dificultades que tienen los retornados de insertarse al mercado de trabajo una vez que retornan. El efecto de las expulsiones inesperadas</w:t>
      </w:r>
      <w:r w:rsidR="00C25948">
        <w:rPr>
          <w:rFonts w:ascii="Times New Roman" w:eastAsia="Times New Roman" w:hAnsi="Times New Roman" w:cs="Times New Roman"/>
          <w:sz w:val="24"/>
          <w:szCs w:val="24"/>
          <w:lang w:eastAsia="es-MX"/>
        </w:rPr>
        <w:t>,</w:t>
      </w:r>
      <w:r w:rsidR="006C2EF6">
        <w:rPr>
          <w:rFonts w:ascii="Times New Roman" w:eastAsia="Times New Roman" w:hAnsi="Times New Roman" w:cs="Times New Roman"/>
          <w:sz w:val="24"/>
          <w:szCs w:val="24"/>
          <w:lang w:eastAsia="es-MX"/>
        </w:rPr>
        <w:t xml:space="preserve"> por las políticas antiinmigrantes en Estados Unidos</w:t>
      </w:r>
      <w:r w:rsidR="00C25948">
        <w:rPr>
          <w:rFonts w:ascii="Times New Roman" w:eastAsia="Times New Roman" w:hAnsi="Times New Roman" w:cs="Times New Roman"/>
          <w:sz w:val="24"/>
          <w:szCs w:val="24"/>
          <w:lang w:eastAsia="es-MX"/>
        </w:rPr>
        <w:t>,</w:t>
      </w:r>
      <w:r w:rsidR="006C2EF6">
        <w:rPr>
          <w:rFonts w:ascii="Times New Roman" w:eastAsia="Times New Roman" w:hAnsi="Times New Roman" w:cs="Times New Roman"/>
          <w:sz w:val="24"/>
          <w:szCs w:val="24"/>
          <w:lang w:eastAsia="es-MX"/>
        </w:rPr>
        <w:t xml:space="preserve"> dejan sentir su efecto sobre el desempleo que enfrentan los retornados.</w:t>
      </w:r>
      <w:r w:rsidR="00C25948">
        <w:rPr>
          <w:rFonts w:ascii="Times New Roman" w:eastAsia="Times New Roman" w:hAnsi="Times New Roman" w:cs="Times New Roman"/>
          <w:sz w:val="24"/>
          <w:szCs w:val="24"/>
          <w:lang w:eastAsia="es-MX"/>
        </w:rPr>
        <w:t xml:space="preserve"> Sobre </w:t>
      </w:r>
      <w:proofErr w:type="gramStart"/>
      <w:r w:rsidR="00C25948">
        <w:rPr>
          <w:rFonts w:ascii="Times New Roman" w:eastAsia="Times New Roman" w:hAnsi="Times New Roman" w:cs="Times New Roman"/>
          <w:sz w:val="24"/>
          <w:szCs w:val="24"/>
          <w:lang w:eastAsia="es-MX"/>
        </w:rPr>
        <w:t>todo</w:t>
      </w:r>
      <w:proofErr w:type="gramEnd"/>
      <w:r w:rsidR="00C25948">
        <w:rPr>
          <w:rFonts w:ascii="Times New Roman" w:eastAsia="Times New Roman" w:hAnsi="Times New Roman" w:cs="Times New Roman"/>
          <w:sz w:val="24"/>
          <w:szCs w:val="24"/>
          <w:lang w:eastAsia="es-MX"/>
        </w:rPr>
        <w:t xml:space="preserve"> resalta la proporción de desempleados cuando se compara con la proporción de desempleo de los no migrantes, que es mucho más baja</w:t>
      </w:r>
      <w:r w:rsidR="00021631">
        <w:rPr>
          <w:rFonts w:ascii="Times New Roman" w:eastAsia="Times New Roman" w:hAnsi="Times New Roman" w:cs="Times New Roman"/>
          <w:sz w:val="24"/>
          <w:szCs w:val="24"/>
          <w:lang w:eastAsia="es-MX"/>
        </w:rPr>
        <w:t xml:space="preserve">, es la mitad del desempleo que enfrentan los retornados. </w:t>
      </w:r>
      <w:r w:rsidR="00A5650E">
        <w:rPr>
          <w:rFonts w:ascii="Times New Roman" w:eastAsia="Times New Roman" w:hAnsi="Times New Roman" w:cs="Times New Roman"/>
          <w:sz w:val="24"/>
          <w:szCs w:val="24"/>
          <w:lang w:eastAsia="es-MX"/>
        </w:rPr>
        <w:t xml:space="preserve">El retorno, sobre todo de las mujeres las hace volver a roles tradicionales, que habían superado en contexto de migración, como ha señalado consistentemente la literatura al respecto. </w:t>
      </w:r>
      <w:r w:rsidR="00F5089B">
        <w:rPr>
          <w:rFonts w:ascii="Times New Roman" w:eastAsia="Times New Roman" w:hAnsi="Times New Roman" w:cs="Times New Roman"/>
          <w:sz w:val="24"/>
          <w:szCs w:val="24"/>
          <w:lang w:eastAsia="es-MX"/>
        </w:rPr>
        <w:t xml:space="preserve">El retorno de las mujeres parece recluirlas nuevamente a las labores domésticas. La Población </w:t>
      </w:r>
      <w:r w:rsidR="001C6B9C">
        <w:rPr>
          <w:rFonts w:ascii="Times New Roman" w:eastAsia="Times New Roman" w:hAnsi="Times New Roman" w:cs="Times New Roman"/>
          <w:sz w:val="24"/>
          <w:szCs w:val="24"/>
          <w:lang w:eastAsia="es-MX"/>
        </w:rPr>
        <w:t>no económicamente activa, en el caso de los migrantes es baja, lo que indica que la migración de retorno no se ha dado por cuestiones de haber concluido el proyecto migratori</w:t>
      </w:r>
      <w:r w:rsidR="00ED3CD3">
        <w:rPr>
          <w:rFonts w:ascii="Times New Roman" w:eastAsia="Times New Roman" w:hAnsi="Times New Roman" w:cs="Times New Roman"/>
          <w:sz w:val="24"/>
          <w:szCs w:val="24"/>
          <w:lang w:eastAsia="es-MX"/>
        </w:rPr>
        <w:t>o</w:t>
      </w:r>
      <w:r w:rsidR="001C6B9C">
        <w:rPr>
          <w:rFonts w:ascii="Times New Roman" w:eastAsia="Times New Roman" w:hAnsi="Times New Roman" w:cs="Times New Roman"/>
          <w:sz w:val="24"/>
          <w:szCs w:val="24"/>
          <w:lang w:eastAsia="es-MX"/>
        </w:rPr>
        <w:t>, sino que refuerza la idea de que se trata de población que fue mayoritariamente expulsada de</w:t>
      </w:r>
      <w:r w:rsidR="00ED3CD3">
        <w:rPr>
          <w:rFonts w:ascii="Times New Roman" w:eastAsia="Times New Roman" w:hAnsi="Times New Roman" w:cs="Times New Roman"/>
          <w:sz w:val="24"/>
          <w:szCs w:val="24"/>
          <w:lang w:eastAsia="es-MX"/>
        </w:rPr>
        <w:t>l vecino país del norte.</w:t>
      </w:r>
    </w:p>
    <w:p w14:paraId="345E6A54" w14:textId="29087DF6" w:rsidR="00ED3CD3" w:rsidRDefault="00A26BD5"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Aquellos retornados que tienen la oportunidad incorporarse al mercado de trabajo</w:t>
      </w:r>
      <w:r w:rsidR="0040599D">
        <w:rPr>
          <w:rFonts w:ascii="Times New Roman" w:eastAsia="Times New Roman" w:hAnsi="Times New Roman" w:cs="Times New Roman"/>
          <w:sz w:val="24"/>
          <w:szCs w:val="24"/>
          <w:lang w:eastAsia="es-MX"/>
        </w:rPr>
        <w:t xml:space="preserve">, lo hacen, en primer </w:t>
      </w:r>
      <w:proofErr w:type="gramStart"/>
      <w:r w:rsidR="0040599D">
        <w:rPr>
          <w:rFonts w:ascii="Times New Roman" w:eastAsia="Times New Roman" w:hAnsi="Times New Roman" w:cs="Times New Roman"/>
          <w:sz w:val="24"/>
          <w:szCs w:val="24"/>
          <w:lang w:eastAsia="es-MX"/>
        </w:rPr>
        <w:t>lugar</w:t>
      </w:r>
      <w:proofErr w:type="gramEnd"/>
      <w:r w:rsidR="0040599D">
        <w:rPr>
          <w:rFonts w:ascii="Times New Roman" w:eastAsia="Times New Roman" w:hAnsi="Times New Roman" w:cs="Times New Roman"/>
          <w:sz w:val="24"/>
          <w:szCs w:val="24"/>
          <w:lang w:eastAsia="es-MX"/>
        </w:rPr>
        <w:t xml:space="preserve"> en la calidad de </w:t>
      </w:r>
      <w:r w:rsidR="00E92C14">
        <w:rPr>
          <w:rFonts w:ascii="Times New Roman" w:eastAsia="Times New Roman" w:hAnsi="Times New Roman" w:cs="Times New Roman"/>
          <w:sz w:val="24"/>
          <w:szCs w:val="24"/>
          <w:lang w:eastAsia="es-MX"/>
        </w:rPr>
        <w:t>empleados u obreros</w:t>
      </w:r>
      <w:r w:rsidR="00671507">
        <w:rPr>
          <w:rFonts w:ascii="Times New Roman" w:eastAsia="Times New Roman" w:hAnsi="Times New Roman" w:cs="Times New Roman"/>
          <w:sz w:val="24"/>
          <w:szCs w:val="24"/>
          <w:lang w:eastAsia="es-MX"/>
        </w:rPr>
        <w:t xml:space="preserve"> en los sectores secundario y terciario inferior</w:t>
      </w:r>
      <w:r w:rsidR="0016439B">
        <w:rPr>
          <w:rFonts w:ascii="Times New Roman" w:eastAsia="Times New Roman" w:hAnsi="Times New Roman" w:cs="Times New Roman"/>
          <w:sz w:val="24"/>
          <w:szCs w:val="24"/>
          <w:lang w:eastAsia="es-MX"/>
        </w:rPr>
        <w:t>, pero muy poco en el sector terciario superior</w:t>
      </w:r>
      <w:r w:rsidR="00DA657F">
        <w:rPr>
          <w:rFonts w:ascii="Times New Roman" w:eastAsia="Times New Roman" w:hAnsi="Times New Roman" w:cs="Times New Roman"/>
          <w:sz w:val="24"/>
          <w:szCs w:val="24"/>
          <w:lang w:eastAsia="es-MX"/>
        </w:rPr>
        <w:t>. La presencia de los retornados es más marcada en el sector secundario</w:t>
      </w:r>
      <w:r w:rsidR="004333AC">
        <w:rPr>
          <w:rFonts w:ascii="Times New Roman" w:eastAsia="Times New Roman" w:hAnsi="Times New Roman" w:cs="Times New Roman"/>
          <w:sz w:val="24"/>
          <w:szCs w:val="24"/>
          <w:lang w:eastAsia="es-MX"/>
        </w:rPr>
        <w:t>, que su contraparte de la población no migrante. Una se</w:t>
      </w:r>
      <w:r w:rsidR="002D13E0">
        <w:rPr>
          <w:rFonts w:ascii="Times New Roman" w:eastAsia="Times New Roman" w:hAnsi="Times New Roman" w:cs="Times New Roman"/>
          <w:sz w:val="24"/>
          <w:szCs w:val="24"/>
          <w:lang w:eastAsia="es-MX"/>
        </w:rPr>
        <w:t xml:space="preserve">gunda opción laboral es la de trabajador por cuenta propia, que es mayor respecto de los no migrantes; y por supuesto que esta posición en la ocupación se da en el sector terciario inferior. También llama la atención que </w:t>
      </w:r>
      <w:r w:rsidR="00B500E9">
        <w:rPr>
          <w:rFonts w:ascii="Times New Roman" w:eastAsia="Times New Roman" w:hAnsi="Times New Roman" w:cs="Times New Roman"/>
          <w:sz w:val="24"/>
          <w:szCs w:val="24"/>
          <w:lang w:eastAsia="es-MX"/>
        </w:rPr>
        <w:t>cerca de una décima parte de los retornados se inserta en el sector primario como jornalero o peón.</w:t>
      </w:r>
      <w:r w:rsidR="0053649E">
        <w:rPr>
          <w:rFonts w:ascii="Times New Roman" w:eastAsia="Times New Roman" w:hAnsi="Times New Roman" w:cs="Times New Roman"/>
          <w:sz w:val="24"/>
          <w:szCs w:val="24"/>
          <w:lang w:eastAsia="es-MX"/>
        </w:rPr>
        <w:t xml:space="preserve"> La participación de los retornados en el sector primario es mayor que la de los no migrantes. </w:t>
      </w:r>
      <w:r w:rsidR="00987D73">
        <w:rPr>
          <w:rFonts w:ascii="Times New Roman" w:eastAsia="Times New Roman" w:hAnsi="Times New Roman" w:cs="Times New Roman"/>
          <w:sz w:val="24"/>
          <w:szCs w:val="24"/>
          <w:lang w:eastAsia="es-MX"/>
        </w:rPr>
        <w:t xml:space="preserve">Esto es comprensible en la medida que cerca de un tercio de los retornados regresa a sus lugares de origen, localidades rurales de menos de 2,500 habitantes. </w:t>
      </w:r>
      <w:r w:rsidR="0070165F">
        <w:rPr>
          <w:rFonts w:ascii="Times New Roman" w:eastAsia="Times New Roman" w:hAnsi="Times New Roman" w:cs="Times New Roman"/>
          <w:sz w:val="24"/>
          <w:szCs w:val="24"/>
          <w:lang w:eastAsia="es-MX"/>
        </w:rPr>
        <w:t>El retorno se da a localidades</w:t>
      </w:r>
      <w:r w:rsidR="006A7AF5">
        <w:rPr>
          <w:rFonts w:ascii="Times New Roman" w:eastAsia="Times New Roman" w:hAnsi="Times New Roman" w:cs="Times New Roman"/>
          <w:sz w:val="24"/>
          <w:szCs w:val="24"/>
          <w:lang w:eastAsia="es-MX"/>
        </w:rPr>
        <w:t xml:space="preserve"> y ciudades</w:t>
      </w:r>
      <w:r w:rsidR="0070165F">
        <w:rPr>
          <w:rFonts w:ascii="Times New Roman" w:eastAsia="Times New Roman" w:hAnsi="Times New Roman" w:cs="Times New Roman"/>
          <w:sz w:val="24"/>
          <w:szCs w:val="24"/>
          <w:lang w:eastAsia="es-MX"/>
        </w:rPr>
        <w:t xml:space="preserve"> pequeñas</w:t>
      </w:r>
      <w:r w:rsidR="006A7AF5">
        <w:rPr>
          <w:rFonts w:ascii="Times New Roman" w:eastAsia="Times New Roman" w:hAnsi="Times New Roman" w:cs="Times New Roman"/>
          <w:sz w:val="24"/>
          <w:szCs w:val="24"/>
          <w:lang w:eastAsia="es-MX"/>
        </w:rPr>
        <w:t xml:space="preserve">; sólo una tercera parte regresa a zonas metropolitanas o ciudades de más de cien mil habitantes; mientras que la población no migrante suele concentrarse mayoritariamente en ciudades de más de cien mil habitantes. Su distribución espacial y su inserción laboral dejan ver con claridad que </w:t>
      </w:r>
      <w:r w:rsidR="00DC076F">
        <w:rPr>
          <w:rFonts w:ascii="Times New Roman" w:eastAsia="Times New Roman" w:hAnsi="Times New Roman" w:cs="Times New Roman"/>
          <w:sz w:val="24"/>
          <w:szCs w:val="24"/>
          <w:lang w:eastAsia="es-MX"/>
        </w:rPr>
        <w:t>no se concluyó el proyecto migratorio y que el retorno es más bien forzado por las políticas antiinmigrantes y la contracción de la economía de Estados Unidos.</w:t>
      </w:r>
    </w:p>
    <w:p w14:paraId="45D51724" w14:textId="54A0F43C" w:rsidR="00DC076F" w:rsidRDefault="00486AB7"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Su inserción laboral es más bien precaria en cuanto a derechos laborales. Como vemos en la tabla 2</w:t>
      </w:r>
      <w:r w:rsidR="006E482A">
        <w:rPr>
          <w:rFonts w:ascii="Times New Roman" w:eastAsia="Times New Roman" w:hAnsi="Times New Roman" w:cs="Times New Roman"/>
          <w:sz w:val="24"/>
          <w:szCs w:val="24"/>
          <w:lang w:eastAsia="es-MX"/>
        </w:rPr>
        <w:t xml:space="preserve"> el número de prestaciones laborales es bajo; mientras que la mediana de prestaciones laborales para la población no migrante es de </w:t>
      </w:r>
      <w:r w:rsidR="00A6592F">
        <w:rPr>
          <w:rFonts w:ascii="Times New Roman" w:eastAsia="Times New Roman" w:hAnsi="Times New Roman" w:cs="Times New Roman"/>
          <w:sz w:val="24"/>
          <w:szCs w:val="24"/>
          <w:lang w:eastAsia="es-MX"/>
        </w:rPr>
        <w:t xml:space="preserve">3 prestaciones de 6, para los retornados la mediana de prestaciones laborales es de 0. </w:t>
      </w:r>
      <w:r w:rsidR="00637C9F">
        <w:rPr>
          <w:rFonts w:ascii="Times New Roman" w:eastAsia="Times New Roman" w:hAnsi="Times New Roman" w:cs="Times New Roman"/>
          <w:sz w:val="24"/>
          <w:szCs w:val="24"/>
          <w:lang w:eastAsia="es-MX"/>
        </w:rPr>
        <w:t xml:space="preserve">Sin embargo, dado que una parte importante </w:t>
      </w:r>
      <w:r w:rsidR="002174A2">
        <w:rPr>
          <w:rFonts w:ascii="Times New Roman" w:eastAsia="Times New Roman" w:hAnsi="Times New Roman" w:cs="Times New Roman"/>
          <w:sz w:val="24"/>
          <w:szCs w:val="24"/>
          <w:lang w:eastAsia="es-MX"/>
        </w:rPr>
        <w:t xml:space="preserve">es </w:t>
      </w:r>
      <w:proofErr w:type="gramStart"/>
      <w:r w:rsidR="002174A2">
        <w:rPr>
          <w:rFonts w:ascii="Times New Roman" w:eastAsia="Times New Roman" w:hAnsi="Times New Roman" w:cs="Times New Roman"/>
          <w:sz w:val="24"/>
          <w:szCs w:val="24"/>
          <w:lang w:eastAsia="es-MX"/>
        </w:rPr>
        <w:lastRenderedPageBreak/>
        <w:t>trabajador</w:t>
      </w:r>
      <w:proofErr w:type="gramEnd"/>
      <w:r w:rsidR="002174A2">
        <w:rPr>
          <w:rFonts w:ascii="Times New Roman" w:eastAsia="Times New Roman" w:hAnsi="Times New Roman" w:cs="Times New Roman"/>
          <w:sz w:val="24"/>
          <w:szCs w:val="24"/>
          <w:lang w:eastAsia="es-MX"/>
        </w:rPr>
        <w:t xml:space="preserve"> por cuenta propia, </w:t>
      </w:r>
      <w:r w:rsidR="00DE2255">
        <w:rPr>
          <w:rFonts w:ascii="Times New Roman" w:eastAsia="Times New Roman" w:hAnsi="Times New Roman" w:cs="Times New Roman"/>
          <w:sz w:val="24"/>
          <w:szCs w:val="24"/>
          <w:lang w:eastAsia="es-MX"/>
        </w:rPr>
        <w:t xml:space="preserve">el promedio de </w:t>
      </w:r>
      <w:r w:rsidR="002174A2">
        <w:rPr>
          <w:rFonts w:ascii="Times New Roman" w:eastAsia="Times New Roman" w:hAnsi="Times New Roman" w:cs="Times New Roman"/>
          <w:sz w:val="24"/>
          <w:szCs w:val="24"/>
          <w:lang w:eastAsia="es-MX"/>
        </w:rPr>
        <w:t>sus ingresos laborales, medidos en salarios mínimos, es mayor que el de la población no migrante</w:t>
      </w:r>
      <w:r w:rsidR="00DE2255">
        <w:rPr>
          <w:rFonts w:ascii="Times New Roman" w:eastAsia="Times New Roman" w:hAnsi="Times New Roman" w:cs="Times New Roman"/>
          <w:sz w:val="24"/>
          <w:szCs w:val="24"/>
          <w:lang w:eastAsia="es-MX"/>
        </w:rPr>
        <w:t>, aunque la mediana de los ingresos mensuales por trabajo, es semejante.</w:t>
      </w:r>
    </w:p>
    <w:p w14:paraId="797EB6B8" w14:textId="77777777" w:rsidR="00570F28" w:rsidRDefault="00BC6F83"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Las tablas 1 y 2 nos permiten ver que la población retornada es heterogénea</w:t>
      </w:r>
      <w:r w:rsidR="002A2314">
        <w:rPr>
          <w:rFonts w:ascii="Times New Roman" w:eastAsia="Times New Roman" w:hAnsi="Times New Roman" w:cs="Times New Roman"/>
          <w:sz w:val="24"/>
          <w:szCs w:val="24"/>
          <w:lang w:eastAsia="es-MX"/>
        </w:rPr>
        <w:t xml:space="preserve">, aunque con un cierto perfil, donde la mayoría son hombres que cumplen sus roles de género, con ciertos problemas en la inserción laboral, con mayores niveles de escolaridad, que les permite iniciar </w:t>
      </w:r>
      <w:r w:rsidR="00DC16E5">
        <w:rPr>
          <w:rFonts w:ascii="Times New Roman" w:eastAsia="Times New Roman" w:hAnsi="Times New Roman" w:cs="Times New Roman"/>
          <w:sz w:val="24"/>
          <w:szCs w:val="24"/>
          <w:lang w:eastAsia="es-MX"/>
        </w:rPr>
        <w:t xml:space="preserve">actividades laborales por cuenta propia en sus localidades de origen, regularmente aquellas localidades y ciudades pequeñas. </w:t>
      </w:r>
      <w:r w:rsidR="00493F27">
        <w:rPr>
          <w:rFonts w:ascii="Times New Roman" w:eastAsia="Times New Roman" w:hAnsi="Times New Roman" w:cs="Times New Roman"/>
          <w:sz w:val="24"/>
          <w:szCs w:val="24"/>
          <w:lang w:eastAsia="es-MX"/>
        </w:rPr>
        <w:t xml:space="preserve">El proyecto migratorio fue truncado, de modo que aún tienen que enfocar sus energías en la crianza y desarrollo de los hijos y de la familia. </w:t>
      </w:r>
    </w:p>
    <w:p w14:paraId="3DC683BB" w14:textId="1F50B301" w:rsidR="00BC6F83" w:rsidRDefault="00F15263"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Un dato </w:t>
      </w:r>
      <w:r w:rsidR="00570F28">
        <w:rPr>
          <w:rFonts w:ascii="Times New Roman" w:eastAsia="Times New Roman" w:hAnsi="Times New Roman" w:cs="Times New Roman"/>
          <w:sz w:val="24"/>
          <w:szCs w:val="24"/>
          <w:lang w:eastAsia="es-MX"/>
        </w:rPr>
        <w:t xml:space="preserve">que es importante tomar en cuenta es </w:t>
      </w:r>
      <w:r w:rsidR="00BC7BC3">
        <w:rPr>
          <w:rFonts w:ascii="Times New Roman" w:eastAsia="Times New Roman" w:hAnsi="Times New Roman" w:cs="Times New Roman"/>
          <w:sz w:val="24"/>
          <w:szCs w:val="24"/>
          <w:lang w:eastAsia="es-MX"/>
        </w:rPr>
        <w:t xml:space="preserve">la variabilidad </w:t>
      </w:r>
      <w:r w:rsidR="00CB4D66">
        <w:rPr>
          <w:rFonts w:ascii="Times New Roman" w:eastAsia="Times New Roman" w:hAnsi="Times New Roman" w:cs="Times New Roman"/>
          <w:sz w:val="24"/>
          <w:szCs w:val="24"/>
          <w:lang w:eastAsia="es-MX"/>
        </w:rPr>
        <w:t xml:space="preserve">en </w:t>
      </w:r>
      <w:r w:rsidR="00570F28">
        <w:rPr>
          <w:rFonts w:ascii="Times New Roman" w:eastAsia="Times New Roman" w:hAnsi="Times New Roman" w:cs="Times New Roman"/>
          <w:sz w:val="24"/>
          <w:szCs w:val="24"/>
          <w:lang w:eastAsia="es-MX"/>
        </w:rPr>
        <w:t xml:space="preserve">el número de salarios mínimos de </w:t>
      </w:r>
      <w:r w:rsidR="00CB4D66">
        <w:rPr>
          <w:rFonts w:ascii="Times New Roman" w:eastAsia="Times New Roman" w:hAnsi="Times New Roman" w:cs="Times New Roman"/>
          <w:sz w:val="24"/>
          <w:szCs w:val="24"/>
          <w:lang w:eastAsia="es-MX"/>
        </w:rPr>
        <w:t xml:space="preserve">los retornados respecto </w:t>
      </w:r>
      <w:r w:rsidR="00261978">
        <w:rPr>
          <w:rFonts w:ascii="Times New Roman" w:eastAsia="Times New Roman" w:hAnsi="Times New Roman" w:cs="Times New Roman"/>
          <w:sz w:val="24"/>
          <w:szCs w:val="24"/>
          <w:lang w:eastAsia="es-MX"/>
        </w:rPr>
        <w:t xml:space="preserve">de los no migrantes. Si bien las medias y las medianas de ambos </w:t>
      </w:r>
      <w:r w:rsidR="001313EA">
        <w:rPr>
          <w:rFonts w:ascii="Times New Roman" w:eastAsia="Times New Roman" w:hAnsi="Times New Roman" w:cs="Times New Roman"/>
          <w:sz w:val="24"/>
          <w:szCs w:val="24"/>
          <w:lang w:eastAsia="es-MX"/>
        </w:rPr>
        <w:t xml:space="preserve">son semejantes, las desviaciones estándar son distintas, son mayores en los retornados respecto de los no migrantes. Esto indica que </w:t>
      </w:r>
      <w:r w:rsidR="00527872">
        <w:rPr>
          <w:rFonts w:ascii="Times New Roman" w:eastAsia="Times New Roman" w:hAnsi="Times New Roman" w:cs="Times New Roman"/>
          <w:sz w:val="24"/>
          <w:szCs w:val="24"/>
          <w:lang w:eastAsia="es-MX"/>
        </w:rPr>
        <w:t xml:space="preserve">los ingresos de los retornados varían mucho respecto de los no migrantes; es decir, en los retornados </w:t>
      </w:r>
      <w:r w:rsidR="00C04A69">
        <w:rPr>
          <w:rFonts w:ascii="Times New Roman" w:eastAsia="Times New Roman" w:hAnsi="Times New Roman" w:cs="Times New Roman"/>
          <w:sz w:val="24"/>
          <w:szCs w:val="24"/>
          <w:lang w:eastAsia="es-MX"/>
        </w:rPr>
        <w:t xml:space="preserve">hay una diversidad de posiciones sociales; así mientras algunos se encuentran en condiciones precarias, otros se encuentran </w:t>
      </w:r>
      <w:r w:rsidR="00F00879">
        <w:rPr>
          <w:rFonts w:ascii="Times New Roman" w:eastAsia="Times New Roman" w:hAnsi="Times New Roman" w:cs="Times New Roman"/>
          <w:sz w:val="24"/>
          <w:szCs w:val="24"/>
          <w:lang w:eastAsia="es-MX"/>
        </w:rPr>
        <w:t xml:space="preserve">en condiciones socioeconómicas favorables, que es uno de los efectos de la migración internacional sobre </w:t>
      </w:r>
      <w:r w:rsidR="001E0095">
        <w:rPr>
          <w:rFonts w:ascii="Times New Roman" w:eastAsia="Times New Roman" w:hAnsi="Times New Roman" w:cs="Times New Roman"/>
          <w:sz w:val="24"/>
          <w:szCs w:val="24"/>
          <w:lang w:eastAsia="es-MX"/>
        </w:rPr>
        <w:t xml:space="preserve">las diferencias sociales. La migración internacional, al generar espacios sociales transnacionales, influye en procesos de diferenciación social dentro de esos espacios transnacionales, dando lugar a fuertes procesos de desigualdad. Sin duda, esa diversidad socioeconómica influirá de manera importante en variables como las aspiraciones y asistencia escolar. </w:t>
      </w:r>
      <w:r w:rsidR="00493F27">
        <w:rPr>
          <w:rFonts w:ascii="Times New Roman" w:eastAsia="Times New Roman" w:hAnsi="Times New Roman" w:cs="Times New Roman"/>
          <w:sz w:val="24"/>
          <w:szCs w:val="24"/>
          <w:lang w:eastAsia="es-MX"/>
        </w:rPr>
        <w:t xml:space="preserve">Veamos ahora, cómo estas condiciones inciden en la asistencia escolar de </w:t>
      </w:r>
      <w:r w:rsidR="0014062B">
        <w:rPr>
          <w:rFonts w:ascii="Times New Roman" w:eastAsia="Times New Roman" w:hAnsi="Times New Roman" w:cs="Times New Roman"/>
          <w:sz w:val="24"/>
          <w:szCs w:val="24"/>
          <w:lang w:eastAsia="es-MX"/>
        </w:rPr>
        <w:t>los</w:t>
      </w:r>
      <w:r w:rsidR="00493F27">
        <w:rPr>
          <w:rFonts w:ascii="Times New Roman" w:eastAsia="Times New Roman" w:hAnsi="Times New Roman" w:cs="Times New Roman"/>
          <w:sz w:val="24"/>
          <w:szCs w:val="24"/>
          <w:lang w:eastAsia="es-MX"/>
        </w:rPr>
        <w:t xml:space="preserve"> hijos</w:t>
      </w:r>
      <w:r w:rsidR="0014062B">
        <w:rPr>
          <w:rFonts w:ascii="Times New Roman" w:eastAsia="Times New Roman" w:hAnsi="Times New Roman" w:cs="Times New Roman"/>
          <w:sz w:val="24"/>
          <w:szCs w:val="24"/>
          <w:lang w:eastAsia="es-MX"/>
        </w:rPr>
        <w:t xml:space="preserve"> de los retornados</w:t>
      </w:r>
      <w:r w:rsidR="00493F27">
        <w:rPr>
          <w:rFonts w:ascii="Times New Roman" w:eastAsia="Times New Roman" w:hAnsi="Times New Roman" w:cs="Times New Roman"/>
          <w:sz w:val="24"/>
          <w:szCs w:val="24"/>
          <w:lang w:eastAsia="es-MX"/>
        </w:rPr>
        <w:t>.</w:t>
      </w:r>
    </w:p>
    <w:p w14:paraId="75EFFBBC" w14:textId="12995B5A"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20524F82" w14:textId="10C0F077"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54D5CE96" w14:textId="296323AA"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5B5BFC0F" w14:textId="72E1BA57"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58B69537" w14:textId="6F873153"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307C2EE5" w14:textId="271FD6D8"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0B81D32C" w14:textId="0E8EE307"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1AA8452F" w14:textId="4472D40C"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043D9E24" w14:textId="4AE86D05"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51AB3D85" w14:textId="77777777" w:rsidR="005A17FA" w:rsidRPr="001C09F7" w:rsidRDefault="005A17FA" w:rsidP="005A17FA">
      <w:pPr>
        <w:spacing w:after="0" w:line="360" w:lineRule="auto"/>
        <w:jc w:val="both"/>
        <w:rPr>
          <w:rFonts w:ascii="Times New Roman" w:eastAsia="Times New Roman" w:hAnsi="Times New Roman" w:cs="Times New Roman"/>
          <w:sz w:val="24"/>
          <w:szCs w:val="24"/>
          <w:lang w:eastAsia="es-MX"/>
        </w:rPr>
      </w:pPr>
    </w:p>
    <w:tbl>
      <w:tblPr>
        <w:tblW w:w="9214" w:type="dxa"/>
        <w:tblCellMar>
          <w:left w:w="70" w:type="dxa"/>
          <w:right w:w="70" w:type="dxa"/>
        </w:tblCellMar>
        <w:tblLook w:val="04A0" w:firstRow="1" w:lastRow="0" w:firstColumn="1" w:lastColumn="0" w:noHBand="0" w:noVBand="1"/>
      </w:tblPr>
      <w:tblGrid>
        <w:gridCol w:w="993"/>
        <w:gridCol w:w="1559"/>
        <w:gridCol w:w="709"/>
        <w:gridCol w:w="850"/>
        <w:gridCol w:w="709"/>
        <w:gridCol w:w="850"/>
        <w:gridCol w:w="709"/>
        <w:gridCol w:w="709"/>
        <w:gridCol w:w="709"/>
        <w:gridCol w:w="708"/>
        <w:gridCol w:w="709"/>
      </w:tblGrid>
      <w:tr w:rsidR="00195EDA" w:rsidRPr="0072243E" w14:paraId="5436EE30" w14:textId="77777777" w:rsidTr="0072243E">
        <w:trPr>
          <w:trHeight w:val="270"/>
        </w:trPr>
        <w:tc>
          <w:tcPr>
            <w:tcW w:w="9214" w:type="dxa"/>
            <w:gridSpan w:val="11"/>
            <w:tcBorders>
              <w:top w:val="nil"/>
              <w:left w:val="nil"/>
              <w:bottom w:val="double" w:sz="6" w:space="0" w:color="auto"/>
              <w:right w:val="nil"/>
            </w:tcBorders>
            <w:shd w:val="clear" w:color="000000" w:fill="FFFFFF"/>
            <w:vAlign w:val="center"/>
            <w:hideMark/>
          </w:tcPr>
          <w:p w14:paraId="322BC525" w14:textId="77777777" w:rsidR="00195EDA" w:rsidRPr="00AD40BF" w:rsidRDefault="00195EDA" w:rsidP="00195EDA">
            <w:pPr>
              <w:spacing w:after="0" w:line="240" w:lineRule="auto"/>
              <w:jc w:val="center"/>
              <w:rPr>
                <w:rFonts w:ascii="Arial Bold" w:eastAsia="Times New Roman" w:hAnsi="Arial Bold" w:cs="Arial"/>
                <w:b/>
                <w:bCs/>
                <w:color w:val="000000"/>
                <w:sz w:val="24"/>
                <w:szCs w:val="24"/>
                <w:lang w:eastAsia="es-MX"/>
              </w:rPr>
            </w:pPr>
            <w:r w:rsidRPr="00AD40BF">
              <w:rPr>
                <w:rFonts w:ascii="Arial Bold" w:eastAsia="Times New Roman" w:hAnsi="Arial Bold" w:cs="Arial"/>
                <w:b/>
                <w:bCs/>
                <w:color w:val="000000"/>
                <w:sz w:val="24"/>
                <w:szCs w:val="24"/>
                <w:lang w:eastAsia="es-MX"/>
              </w:rPr>
              <w:lastRenderedPageBreak/>
              <w:t>Tabla 1. Descriptivos sociodemográficos de tipos de migrantes, E.U.M, 2000, 2010 Y 2015</w:t>
            </w:r>
          </w:p>
        </w:tc>
      </w:tr>
      <w:tr w:rsidR="00195EDA" w:rsidRPr="0072243E" w14:paraId="52E69BC4" w14:textId="77777777" w:rsidTr="0072243E">
        <w:trPr>
          <w:trHeight w:val="540"/>
        </w:trPr>
        <w:tc>
          <w:tcPr>
            <w:tcW w:w="2552" w:type="dxa"/>
            <w:gridSpan w:val="2"/>
            <w:vMerge w:val="restart"/>
            <w:tcBorders>
              <w:top w:val="double" w:sz="6" w:space="0" w:color="auto"/>
              <w:left w:val="nil"/>
              <w:bottom w:val="double" w:sz="6" w:space="0" w:color="000000"/>
              <w:right w:val="nil"/>
            </w:tcBorders>
            <w:shd w:val="clear" w:color="000000" w:fill="FFFFFF"/>
            <w:vAlign w:val="center"/>
            <w:hideMark/>
          </w:tcPr>
          <w:p w14:paraId="5A5C87CB"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Variables/Años</w:t>
            </w:r>
          </w:p>
        </w:tc>
        <w:tc>
          <w:tcPr>
            <w:tcW w:w="2268" w:type="dxa"/>
            <w:gridSpan w:val="3"/>
            <w:tcBorders>
              <w:top w:val="double" w:sz="6" w:space="0" w:color="auto"/>
              <w:left w:val="nil"/>
              <w:bottom w:val="double" w:sz="6" w:space="0" w:color="auto"/>
              <w:right w:val="nil"/>
            </w:tcBorders>
            <w:shd w:val="clear" w:color="000000" w:fill="FFFFFF"/>
            <w:vAlign w:val="center"/>
            <w:hideMark/>
          </w:tcPr>
          <w:p w14:paraId="2AD26737"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Migrantes de retorno de E.U.A.</w:t>
            </w:r>
          </w:p>
        </w:tc>
        <w:tc>
          <w:tcPr>
            <w:tcW w:w="2268" w:type="dxa"/>
            <w:gridSpan w:val="3"/>
            <w:tcBorders>
              <w:top w:val="double" w:sz="6" w:space="0" w:color="auto"/>
              <w:left w:val="nil"/>
              <w:bottom w:val="double" w:sz="6" w:space="0" w:color="auto"/>
              <w:right w:val="nil"/>
            </w:tcBorders>
            <w:shd w:val="clear" w:color="000000" w:fill="FFFFFF"/>
            <w:vAlign w:val="center"/>
            <w:hideMark/>
          </w:tcPr>
          <w:p w14:paraId="64CE751B"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Nacidos en E.U.A.</w:t>
            </w:r>
          </w:p>
        </w:tc>
        <w:tc>
          <w:tcPr>
            <w:tcW w:w="2126" w:type="dxa"/>
            <w:gridSpan w:val="3"/>
            <w:tcBorders>
              <w:top w:val="double" w:sz="6" w:space="0" w:color="auto"/>
              <w:left w:val="nil"/>
              <w:bottom w:val="double" w:sz="6" w:space="0" w:color="auto"/>
              <w:right w:val="nil"/>
            </w:tcBorders>
            <w:shd w:val="clear" w:color="000000" w:fill="FFFFFF"/>
            <w:vAlign w:val="center"/>
            <w:hideMark/>
          </w:tcPr>
          <w:p w14:paraId="5F6F7BA0"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No migrante internacional</w:t>
            </w:r>
          </w:p>
        </w:tc>
      </w:tr>
      <w:tr w:rsidR="00195EDA" w:rsidRPr="0072243E" w14:paraId="3A8D9588" w14:textId="77777777" w:rsidTr="0072243E">
        <w:trPr>
          <w:trHeight w:val="270"/>
        </w:trPr>
        <w:tc>
          <w:tcPr>
            <w:tcW w:w="2552" w:type="dxa"/>
            <w:gridSpan w:val="2"/>
            <w:vMerge/>
            <w:tcBorders>
              <w:top w:val="double" w:sz="6" w:space="0" w:color="auto"/>
              <w:left w:val="nil"/>
              <w:bottom w:val="double" w:sz="6" w:space="0" w:color="000000"/>
              <w:right w:val="nil"/>
            </w:tcBorders>
            <w:vAlign w:val="center"/>
            <w:hideMark/>
          </w:tcPr>
          <w:p w14:paraId="73F28498"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709" w:type="dxa"/>
            <w:tcBorders>
              <w:top w:val="nil"/>
              <w:left w:val="nil"/>
              <w:bottom w:val="double" w:sz="6" w:space="0" w:color="auto"/>
              <w:right w:val="nil"/>
            </w:tcBorders>
            <w:shd w:val="clear" w:color="000000" w:fill="FFFFFF"/>
            <w:vAlign w:val="center"/>
            <w:hideMark/>
          </w:tcPr>
          <w:p w14:paraId="39D5A59E" w14:textId="77777777" w:rsidR="00195EDA" w:rsidRPr="0072243E" w:rsidRDefault="00195EDA" w:rsidP="00195EDA">
            <w:pPr>
              <w:spacing w:after="0" w:line="240" w:lineRule="auto"/>
              <w:jc w:val="center"/>
              <w:rPr>
                <w:rFonts w:ascii="Arial" w:eastAsia="Times New Roman" w:hAnsi="Arial" w:cs="Arial"/>
                <w:b/>
                <w:bCs/>
                <w:sz w:val="16"/>
                <w:szCs w:val="16"/>
                <w:lang w:eastAsia="es-MX"/>
              </w:rPr>
            </w:pPr>
            <w:r w:rsidRPr="0072243E">
              <w:rPr>
                <w:rFonts w:ascii="Arial" w:eastAsia="Times New Roman" w:hAnsi="Arial" w:cs="Arial"/>
                <w:b/>
                <w:bCs/>
                <w:sz w:val="16"/>
                <w:szCs w:val="16"/>
                <w:lang w:eastAsia="es-MX"/>
              </w:rPr>
              <w:t>2000</w:t>
            </w:r>
          </w:p>
        </w:tc>
        <w:tc>
          <w:tcPr>
            <w:tcW w:w="850" w:type="dxa"/>
            <w:tcBorders>
              <w:top w:val="nil"/>
              <w:left w:val="nil"/>
              <w:bottom w:val="double" w:sz="6" w:space="0" w:color="auto"/>
              <w:right w:val="nil"/>
            </w:tcBorders>
            <w:shd w:val="clear" w:color="000000" w:fill="FFFFFF"/>
            <w:vAlign w:val="center"/>
            <w:hideMark/>
          </w:tcPr>
          <w:p w14:paraId="543F758A"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2010</w:t>
            </w:r>
          </w:p>
        </w:tc>
        <w:tc>
          <w:tcPr>
            <w:tcW w:w="709" w:type="dxa"/>
            <w:tcBorders>
              <w:top w:val="nil"/>
              <w:left w:val="nil"/>
              <w:bottom w:val="double" w:sz="6" w:space="0" w:color="auto"/>
              <w:right w:val="nil"/>
            </w:tcBorders>
            <w:shd w:val="clear" w:color="000000" w:fill="FFFFFF"/>
            <w:vAlign w:val="center"/>
            <w:hideMark/>
          </w:tcPr>
          <w:p w14:paraId="218D127D"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2015</w:t>
            </w:r>
          </w:p>
        </w:tc>
        <w:tc>
          <w:tcPr>
            <w:tcW w:w="850" w:type="dxa"/>
            <w:tcBorders>
              <w:top w:val="nil"/>
              <w:left w:val="nil"/>
              <w:bottom w:val="double" w:sz="6" w:space="0" w:color="auto"/>
              <w:right w:val="nil"/>
            </w:tcBorders>
            <w:shd w:val="clear" w:color="000000" w:fill="FFFFFF"/>
            <w:vAlign w:val="center"/>
            <w:hideMark/>
          </w:tcPr>
          <w:p w14:paraId="3C0B19B4" w14:textId="77777777" w:rsidR="00195EDA" w:rsidRPr="0072243E" w:rsidRDefault="00195EDA" w:rsidP="00195EDA">
            <w:pPr>
              <w:spacing w:after="0" w:line="240" w:lineRule="auto"/>
              <w:jc w:val="center"/>
              <w:rPr>
                <w:rFonts w:ascii="Arial" w:eastAsia="Times New Roman" w:hAnsi="Arial" w:cs="Arial"/>
                <w:b/>
                <w:bCs/>
                <w:sz w:val="16"/>
                <w:szCs w:val="16"/>
                <w:lang w:eastAsia="es-MX"/>
              </w:rPr>
            </w:pPr>
            <w:r w:rsidRPr="0072243E">
              <w:rPr>
                <w:rFonts w:ascii="Arial" w:eastAsia="Times New Roman" w:hAnsi="Arial" w:cs="Arial"/>
                <w:b/>
                <w:bCs/>
                <w:sz w:val="16"/>
                <w:szCs w:val="16"/>
                <w:lang w:eastAsia="es-MX"/>
              </w:rPr>
              <w:t>2000</w:t>
            </w:r>
          </w:p>
        </w:tc>
        <w:tc>
          <w:tcPr>
            <w:tcW w:w="709" w:type="dxa"/>
            <w:tcBorders>
              <w:top w:val="nil"/>
              <w:left w:val="nil"/>
              <w:bottom w:val="double" w:sz="6" w:space="0" w:color="auto"/>
              <w:right w:val="nil"/>
            </w:tcBorders>
            <w:shd w:val="clear" w:color="000000" w:fill="FFFFFF"/>
            <w:vAlign w:val="center"/>
            <w:hideMark/>
          </w:tcPr>
          <w:p w14:paraId="10E5F57F"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2010</w:t>
            </w:r>
          </w:p>
        </w:tc>
        <w:tc>
          <w:tcPr>
            <w:tcW w:w="709" w:type="dxa"/>
            <w:tcBorders>
              <w:top w:val="nil"/>
              <w:left w:val="nil"/>
              <w:bottom w:val="double" w:sz="6" w:space="0" w:color="auto"/>
              <w:right w:val="nil"/>
            </w:tcBorders>
            <w:shd w:val="clear" w:color="000000" w:fill="FFFFFF"/>
            <w:vAlign w:val="center"/>
            <w:hideMark/>
          </w:tcPr>
          <w:p w14:paraId="6107BA37"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2015</w:t>
            </w:r>
          </w:p>
        </w:tc>
        <w:tc>
          <w:tcPr>
            <w:tcW w:w="709" w:type="dxa"/>
            <w:tcBorders>
              <w:top w:val="nil"/>
              <w:left w:val="nil"/>
              <w:bottom w:val="double" w:sz="6" w:space="0" w:color="auto"/>
              <w:right w:val="nil"/>
            </w:tcBorders>
            <w:shd w:val="clear" w:color="000000" w:fill="FFFFFF"/>
            <w:vAlign w:val="center"/>
            <w:hideMark/>
          </w:tcPr>
          <w:p w14:paraId="007FA8DA" w14:textId="77777777" w:rsidR="00195EDA" w:rsidRPr="0072243E" w:rsidRDefault="00195EDA" w:rsidP="00195EDA">
            <w:pPr>
              <w:spacing w:after="0" w:line="240" w:lineRule="auto"/>
              <w:jc w:val="center"/>
              <w:rPr>
                <w:rFonts w:ascii="Arial" w:eastAsia="Times New Roman" w:hAnsi="Arial" w:cs="Arial"/>
                <w:b/>
                <w:bCs/>
                <w:sz w:val="16"/>
                <w:szCs w:val="16"/>
                <w:lang w:eastAsia="es-MX"/>
              </w:rPr>
            </w:pPr>
            <w:r w:rsidRPr="0072243E">
              <w:rPr>
                <w:rFonts w:ascii="Arial" w:eastAsia="Times New Roman" w:hAnsi="Arial" w:cs="Arial"/>
                <w:b/>
                <w:bCs/>
                <w:sz w:val="16"/>
                <w:szCs w:val="16"/>
                <w:lang w:eastAsia="es-MX"/>
              </w:rPr>
              <w:t>2000</w:t>
            </w:r>
          </w:p>
        </w:tc>
        <w:tc>
          <w:tcPr>
            <w:tcW w:w="708" w:type="dxa"/>
            <w:tcBorders>
              <w:top w:val="nil"/>
              <w:left w:val="nil"/>
              <w:bottom w:val="double" w:sz="6" w:space="0" w:color="auto"/>
              <w:right w:val="nil"/>
            </w:tcBorders>
            <w:shd w:val="clear" w:color="000000" w:fill="FFFFFF"/>
            <w:vAlign w:val="center"/>
            <w:hideMark/>
          </w:tcPr>
          <w:p w14:paraId="3C7D50A5"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2010</w:t>
            </w:r>
          </w:p>
        </w:tc>
        <w:tc>
          <w:tcPr>
            <w:tcW w:w="709" w:type="dxa"/>
            <w:tcBorders>
              <w:top w:val="nil"/>
              <w:left w:val="nil"/>
              <w:bottom w:val="double" w:sz="6" w:space="0" w:color="auto"/>
              <w:right w:val="nil"/>
            </w:tcBorders>
            <w:shd w:val="clear" w:color="000000" w:fill="FFFFFF"/>
            <w:vAlign w:val="center"/>
            <w:hideMark/>
          </w:tcPr>
          <w:p w14:paraId="2E8B8C2E"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2015</w:t>
            </w:r>
          </w:p>
        </w:tc>
      </w:tr>
      <w:tr w:rsidR="00195EDA" w:rsidRPr="0072243E" w14:paraId="7F68A654" w14:textId="77777777" w:rsidTr="0072243E">
        <w:trPr>
          <w:trHeight w:val="270"/>
        </w:trPr>
        <w:tc>
          <w:tcPr>
            <w:tcW w:w="993" w:type="dxa"/>
            <w:vMerge w:val="restart"/>
            <w:tcBorders>
              <w:top w:val="nil"/>
              <w:left w:val="nil"/>
              <w:bottom w:val="double" w:sz="6" w:space="0" w:color="000000"/>
              <w:right w:val="nil"/>
            </w:tcBorders>
            <w:shd w:val="clear" w:color="000000" w:fill="FFFFFF"/>
            <w:vAlign w:val="center"/>
            <w:hideMark/>
          </w:tcPr>
          <w:p w14:paraId="64AE4D8F"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Sexo</w:t>
            </w:r>
          </w:p>
        </w:tc>
        <w:tc>
          <w:tcPr>
            <w:tcW w:w="1559" w:type="dxa"/>
            <w:tcBorders>
              <w:top w:val="nil"/>
              <w:left w:val="nil"/>
              <w:bottom w:val="nil"/>
              <w:right w:val="nil"/>
            </w:tcBorders>
            <w:shd w:val="clear" w:color="000000" w:fill="FFFFFF"/>
            <w:vAlign w:val="center"/>
            <w:hideMark/>
          </w:tcPr>
          <w:p w14:paraId="0DE247E9"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Hombres</w:t>
            </w:r>
          </w:p>
        </w:tc>
        <w:tc>
          <w:tcPr>
            <w:tcW w:w="709" w:type="dxa"/>
            <w:tcBorders>
              <w:top w:val="nil"/>
              <w:left w:val="nil"/>
              <w:bottom w:val="nil"/>
              <w:right w:val="nil"/>
            </w:tcBorders>
            <w:shd w:val="clear" w:color="000000" w:fill="FFFFFF"/>
            <w:vAlign w:val="center"/>
            <w:hideMark/>
          </w:tcPr>
          <w:p w14:paraId="3CED6AC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65.1%</w:t>
            </w:r>
          </w:p>
        </w:tc>
        <w:tc>
          <w:tcPr>
            <w:tcW w:w="850" w:type="dxa"/>
            <w:tcBorders>
              <w:top w:val="nil"/>
              <w:left w:val="nil"/>
              <w:bottom w:val="nil"/>
              <w:right w:val="nil"/>
            </w:tcBorders>
            <w:shd w:val="clear" w:color="000000" w:fill="FFFFFF"/>
            <w:vAlign w:val="center"/>
            <w:hideMark/>
          </w:tcPr>
          <w:p w14:paraId="7B25D91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72.0%</w:t>
            </w:r>
          </w:p>
        </w:tc>
        <w:tc>
          <w:tcPr>
            <w:tcW w:w="709" w:type="dxa"/>
            <w:tcBorders>
              <w:top w:val="nil"/>
              <w:left w:val="nil"/>
              <w:bottom w:val="nil"/>
              <w:right w:val="nil"/>
            </w:tcBorders>
            <w:shd w:val="clear" w:color="000000" w:fill="FFFFFF"/>
            <w:vAlign w:val="center"/>
            <w:hideMark/>
          </w:tcPr>
          <w:p w14:paraId="760612C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67.8%</w:t>
            </w:r>
          </w:p>
        </w:tc>
        <w:tc>
          <w:tcPr>
            <w:tcW w:w="850" w:type="dxa"/>
            <w:tcBorders>
              <w:top w:val="nil"/>
              <w:left w:val="nil"/>
              <w:bottom w:val="nil"/>
              <w:right w:val="nil"/>
            </w:tcBorders>
            <w:shd w:val="clear" w:color="000000" w:fill="FFFFFF"/>
            <w:vAlign w:val="center"/>
            <w:hideMark/>
          </w:tcPr>
          <w:p w14:paraId="620C65BD"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50.3%</w:t>
            </w:r>
          </w:p>
        </w:tc>
        <w:tc>
          <w:tcPr>
            <w:tcW w:w="709" w:type="dxa"/>
            <w:tcBorders>
              <w:top w:val="nil"/>
              <w:left w:val="nil"/>
              <w:bottom w:val="nil"/>
              <w:right w:val="nil"/>
            </w:tcBorders>
            <w:shd w:val="clear" w:color="000000" w:fill="FFFFFF"/>
            <w:vAlign w:val="center"/>
            <w:hideMark/>
          </w:tcPr>
          <w:p w14:paraId="10A7FC1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50.8%</w:t>
            </w:r>
          </w:p>
        </w:tc>
        <w:tc>
          <w:tcPr>
            <w:tcW w:w="709" w:type="dxa"/>
            <w:tcBorders>
              <w:top w:val="nil"/>
              <w:left w:val="nil"/>
              <w:bottom w:val="nil"/>
              <w:right w:val="nil"/>
            </w:tcBorders>
            <w:shd w:val="clear" w:color="000000" w:fill="FFFFFF"/>
            <w:vAlign w:val="center"/>
            <w:hideMark/>
          </w:tcPr>
          <w:p w14:paraId="177E146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50.4%</w:t>
            </w:r>
          </w:p>
        </w:tc>
        <w:tc>
          <w:tcPr>
            <w:tcW w:w="709" w:type="dxa"/>
            <w:tcBorders>
              <w:top w:val="nil"/>
              <w:left w:val="nil"/>
              <w:bottom w:val="nil"/>
              <w:right w:val="nil"/>
            </w:tcBorders>
            <w:shd w:val="clear" w:color="000000" w:fill="FFFFFF"/>
            <w:vAlign w:val="center"/>
            <w:hideMark/>
          </w:tcPr>
          <w:p w14:paraId="5AE1B9C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48.4%</w:t>
            </w:r>
          </w:p>
        </w:tc>
        <w:tc>
          <w:tcPr>
            <w:tcW w:w="708" w:type="dxa"/>
            <w:tcBorders>
              <w:top w:val="nil"/>
              <w:left w:val="nil"/>
              <w:bottom w:val="nil"/>
              <w:right w:val="nil"/>
            </w:tcBorders>
            <w:shd w:val="clear" w:color="000000" w:fill="FFFFFF"/>
            <w:vAlign w:val="center"/>
            <w:hideMark/>
          </w:tcPr>
          <w:p w14:paraId="20A061D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48.3%</w:t>
            </w:r>
          </w:p>
        </w:tc>
        <w:tc>
          <w:tcPr>
            <w:tcW w:w="709" w:type="dxa"/>
            <w:tcBorders>
              <w:top w:val="nil"/>
              <w:left w:val="nil"/>
              <w:bottom w:val="nil"/>
              <w:right w:val="nil"/>
            </w:tcBorders>
            <w:shd w:val="clear" w:color="000000" w:fill="FFFFFF"/>
            <w:vAlign w:val="center"/>
            <w:hideMark/>
          </w:tcPr>
          <w:p w14:paraId="43D5E2C0"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48.3%</w:t>
            </w:r>
          </w:p>
        </w:tc>
      </w:tr>
      <w:tr w:rsidR="00195EDA" w:rsidRPr="0072243E" w14:paraId="4E5B139C" w14:textId="77777777" w:rsidTr="0072243E">
        <w:trPr>
          <w:trHeight w:val="270"/>
        </w:trPr>
        <w:tc>
          <w:tcPr>
            <w:tcW w:w="993" w:type="dxa"/>
            <w:vMerge/>
            <w:tcBorders>
              <w:top w:val="nil"/>
              <w:left w:val="nil"/>
              <w:bottom w:val="double" w:sz="6" w:space="0" w:color="000000"/>
              <w:right w:val="nil"/>
            </w:tcBorders>
            <w:vAlign w:val="center"/>
            <w:hideMark/>
          </w:tcPr>
          <w:p w14:paraId="6CC1E8C3"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double" w:sz="6" w:space="0" w:color="auto"/>
              <w:right w:val="nil"/>
            </w:tcBorders>
            <w:shd w:val="clear" w:color="000000" w:fill="FFFFFF"/>
            <w:vAlign w:val="center"/>
            <w:hideMark/>
          </w:tcPr>
          <w:p w14:paraId="660B719B"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Mujeres</w:t>
            </w:r>
          </w:p>
        </w:tc>
        <w:tc>
          <w:tcPr>
            <w:tcW w:w="709" w:type="dxa"/>
            <w:tcBorders>
              <w:top w:val="nil"/>
              <w:left w:val="nil"/>
              <w:bottom w:val="double" w:sz="6" w:space="0" w:color="auto"/>
              <w:right w:val="nil"/>
            </w:tcBorders>
            <w:shd w:val="clear" w:color="000000" w:fill="FFFFFF"/>
            <w:vAlign w:val="center"/>
            <w:hideMark/>
          </w:tcPr>
          <w:p w14:paraId="60122F6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34.9%</w:t>
            </w:r>
          </w:p>
        </w:tc>
        <w:tc>
          <w:tcPr>
            <w:tcW w:w="850" w:type="dxa"/>
            <w:tcBorders>
              <w:top w:val="nil"/>
              <w:left w:val="nil"/>
              <w:bottom w:val="double" w:sz="6" w:space="0" w:color="auto"/>
              <w:right w:val="nil"/>
            </w:tcBorders>
            <w:shd w:val="clear" w:color="000000" w:fill="FFFFFF"/>
            <w:vAlign w:val="center"/>
            <w:hideMark/>
          </w:tcPr>
          <w:p w14:paraId="34B0A7E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28.0%</w:t>
            </w:r>
          </w:p>
        </w:tc>
        <w:tc>
          <w:tcPr>
            <w:tcW w:w="709" w:type="dxa"/>
            <w:tcBorders>
              <w:top w:val="nil"/>
              <w:left w:val="nil"/>
              <w:bottom w:val="double" w:sz="6" w:space="0" w:color="auto"/>
              <w:right w:val="nil"/>
            </w:tcBorders>
            <w:shd w:val="clear" w:color="000000" w:fill="FFFFFF"/>
            <w:vAlign w:val="center"/>
            <w:hideMark/>
          </w:tcPr>
          <w:p w14:paraId="782638E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32.2%</w:t>
            </w:r>
          </w:p>
        </w:tc>
        <w:tc>
          <w:tcPr>
            <w:tcW w:w="850" w:type="dxa"/>
            <w:tcBorders>
              <w:top w:val="nil"/>
              <w:left w:val="nil"/>
              <w:bottom w:val="double" w:sz="6" w:space="0" w:color="auto"/>
              <w:right w:val="nil"/>
            </w:tcBorders>
            <w:shd w:val="clear" w:color="000000" w:fill="FFFFFF"/>
            <w:vAlign w:val="center"/>
            <w:hideMark/>
          </w:tcPr>
          <w:p w14:paraId="6D6317D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49.7%</w:t>
            </w:r>
          </w:p>
        </w:tc>
        <w:tc>
          <w:tcPr>
            <w:tcW w:w="709" w:type="dxa"/>
            <w:tcBorders>
              <w:top w:val="nil"/>
              <w:left w:val="nil"/>
              <w:bottom w:val="double" w:sz="6" w:space="0" w:color="auto"/>
              <w:right w:val="nil"/>
            </w:tcBorders>
            <w:shd w:val="clear" w:color="000000" w:fill="FFFFFF"/>
            <w:vAlign w:val="center"/>
            <w:hideMark/>
          </w:tcPr>
          <w:p w14:paraId="0D9780F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49.2%</w:t>
            </w:r>
          </w:p>
        </w:tc>
        <w:tc>
          <w:tcPr>
            <w:tcW w:w="709" w:type="dxa"/>
            <w:tcBorders>
              <w:top w:val="nil"/>
              <w:left w:val="nil"/>
              <w:bottom w:val="double" w:sz="6" w:space="0" w:color="auto"/>
              <w:right w:val="nil"/>
            </w:tcBorders>
            <w:shd w:val="clear" w:color="000000" w:fill="FFFFFF"/>
            <w:vAlign w:val="center"/>
            <w:hideMark/>
          </w:tcPr>
          <w:p w14:paraId="083BF53A"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49.6%</w:t>
            </w:r>
          </w:p>
        </w:tc>
        <w:tc>
          <w:tcPr>
            <w:tcW w:w="709" w:type="dxa"/>
            <w:tcBorders>
              <w:top w:val="nil"/>
              <w:left w:val="nil"/>
              <w:bottom w:val="double" w:sz="6" w:space="0" w:color="auto"/>
              <w:right w:val="nil"/>
            </w:tcBorders>
            <w:shd w:val="clear" w:color="000000" w:fill="FFFFFF"/>
            <w:vAlign w:val="center"/>
            <w:hideMark/>
          </w:tcPr>
          <w:p w14:paraId="7F3B75F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51.6%</w:t>
            </w:r>
          </w:p>
        </w:tc>
        <w:tc>
          <w:tcPr>
            <w:tcW w:w="708" w:type="dxa"/>
            <w:tcBorders>
              <w:top w:val="nil"/>
              <w:left w:val="nil"/>
              <w:bottom w:val="double" w:sz="6" w:space="0" w:color="auto"/>
              <w:right w:val="nil"/>
            </w:tcBorders>
            <w:shd w:val="clear" w:color="000000" w:fill="FFFFFF"/>
            <w:vAlign w:val="center"/>
            <w:hideMark/>
          </w:tcPr>
          <w:p w14:paraId="2729013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51.7%</w:t>
            </w:r>
          </w:p>
        </w:tc>
        <w:tc>
          <w:tcPr>
            <w:tcW w:w="709" w:type="dxa"/>
            <w:tcBorders>
              <w:top w:val="nil"/>
              <w:left w:val="nil"/>
              <w:bottom w:val="double" w:sz="6" w:space="0" w:color="auto"/>
              <w:right w:val="nil"/>
            </w:tcBorders>
            <w:shd w:val="clear" w:color="000000" w:fill="FFFFFF"/>
            <w:vAlign w:val="center"/>
            <w:hideMark/>
          </w:tcPr>
          <w:p w14:paraId="6B2039E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51.7%</w:t>
            </w:r>
          </w:p>
        </w:tc>
      </w:tr>
      <w:tr w:rsidR="00195EDA" w:rsidRPr="0072243E" w14:paraId="52A8D0D0" w14:textId="77777777" w:rsidTr="0072243E">
        <w:trPr>
          <w:trHeight w:val="270"/>
        </w:trPr>
        <w:tc>
          <w:tcPr>
            <w:tcW w:w="993" w:type="dxa"/>
            <w:vMerge w:val="restart"/>
            <w:tcBorders>
              <w:top w:val="nil"/>
              <w:left w:val="nil"/>
              <w:bottom w:val="double" w:sz="6" w:space="0" w:color="000000"/>
              <w:right w:val="nil"/>
            </w:tcBorders>
            <w:shd w:val="clear" w:color="000000" w:fill="FFFFFF"/>
            <w:vAlign w:val="center"/>
            <w:hideMark/>
          </w:tcPr>
          <w:p w14:paraId="170C31B3"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Ocupación</w:t>
            </w:r>
          </w:p>
        </w:tc>
        <w:tc>
          <w:tcPr>
            <w:tcW w:w="1559" w:type="dxa"/>
            <w:tcBorders>
              <w:top w:val="nil"/>
              <w:left w:val="nil"/>
              <w:bottom w:val="nil"/>
              <w:right w:val="nil"/>
            </w:tcBorders>
            <w:shd w:val="clear" w:color="000000" w:fill="FFFFFF"/>
            <w:vAlign w:val="center"/>
            <w:hideMark/>
          </w:tcPr>
          <w:p w14:paraId="49DB5454"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Trabaja</w:t>
            </w:r>
          </w:p>
        </w:tc>
        <w:tc>
          <w:tcPr>
            <w:tcW w:w="709" w:type="dxa"/>
            <w:tcBorders>
              <w:top w:val="nil"/>
              <w:left w:val="nil"/>
              <w:bottom w:val="nil"/>
              <w:right w:val="nil"/>
            </w:tcBorders>
            <w:shd w:val="clear" w:color="000000" w:fill="FFFFFF"/>
            <w:vAlign w:val="center"/>
            <w:hideMark/>
          </w:tcPr>
          <w:p w14:paraId="7E3EEC1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55.9%</w:t>
            </w:r>
          </w:p>
        </w:tc>
        <w:tc>
          <w:tcPr>
            <w:tcW w:w="850" w:type="dxa"/>
            <w:tcBorders>
              <w:top w:val="nil"/>
              <w:left w:val="nil"/>
              <w:bottom w:val="nil"/>
              <w:right w:val="nil"/>
            </w:tcBorders>
            <w:shd w:val="clear" w:color="000000" w:fill="FFFFFF"/>
            <w:vAlign w:val="center"/>
            <w:hideMark/>
          </w:tcPr>
          <w:p w14:paraId="4EF4E6F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65.0%</w:t>
            </w:r>
          </w:p>
        </w:tc>
        <w:tc>
          <w:tcPr>
            <w:tcW w:w="709" w:type="dxa"/>
            <w:tcBorders>
              <w:top w:val="nil"/>
              <w:left w:val="nil"/>
              <w:bottom w:val="nil"/>
              <w:right w:val="nil"/>
            </w:tcBorders>
            <w:shd w:val="clear" w:color="000000" w:fill="FFFFFF"/>
            <w:vAlign w:val="center"/>
            <w:hideMark/>
          </w:tcPr>
          <w:p w14:paraId="244D175A"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60.9%</w:t>
            </w:r>
          </w:p>
        </w:tc>
        <w:tc>
          <w:tcPr>
            <w:tcW w:w="850" w:type="dxa"/>
            <w:tcBorders>
              <w:top w:val="nil"/>
              <w:left w:val="nil"/>
              <w:bottom w:val="nil"/>
              <w:right w:val="nil"/>
            </w:tcBorders>
            <w:shd w:val="clear" w:color="000000" w:fill="FFFFFF"/>
            <w:vAlign w:val="center"/>
            <w:hideMark/>
          </w:tcPr>
          <w:p w14:paraId="3C85A31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35.5%</w:t>
            </w:r>
          </w:p>
        </w:tc>
        <w:tc>
          <w:tcPr>
            <w:tcW w:w="709" w:type="dxa"/>
            <w:tcBorders>
              <w:top w:val="nil"/>
              <w:left w:val="nil"/>
              <w:bottom w:val="nil"/>
              <w:right w:val="nil"/>
            </w:tcBorders>
            <w:shd w:val="clear" w:color="000000" w:fill="FFFFFF"/>
            <w:vAlign w:val="center"/>
            <w:hideMark/>
          </w:tcPr>
          <w:p w14:paraId="6DCDDF6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30.9%</w:t>
            </w:r>
          </w:p>
        </w:tc>
        <w:tc>
          <w:tcPr>
            <w:tcW w:w="709" w:type="dxa"/>
            <w:tcBorders>
              <w:top w:val="nil"/>
              <w:left w:val="nil"/>
              <w:bottom w:val="nil"/>
              <w:right w:val="nil"/>
            </w:tcBorders>
            <w:shd w:val="clear" w:color="000000" w:fill="FFFFFF"/>
            <w:vAlign w:val="center"/>
            <w:hideMark/>
          </w:tcPr>
          <w:p w14:paraId="0E00418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27.6%</w:t>
            </w:r>
          </w:p>
        </w:tc>
        <w:tc>
          <w:tcPr>
            <w:tcW w:w="709" w:type="dxa"/>
            <w:tcBorders>
              <w:top w:val="nil"/>
              <w:left w:val="nil"/>
              <w:bottom w:val="nil"/>
              <w:right w:val="nil"/>
            </w:tcBorders>
            <w:shd w:val="clear" w:color="000000" w:fill="FFFFFF"/>
            <w:vAlign w:val="center"/>
            <w:hideMark/>
          </w:tcPr>
          <w:p w14:paraId="3ADF442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49.9%</w:t>
            </w:r>
          </w:p>
        </w:tc>
        <w:tc>
          <w:tcPr>
            <w:tcW w:w="708" w:type="dxa"/>
            <w:tcBorders>
              <w:top w:val="nil"/>
              <w:left w:val="nil"/>
              <w:bottom w:val="nil"/>
              <w:right w:val="nil"/>
            </w:tcBorders>
            <w:shd w:val="clear" w:color="000000" w:fill="FFFFFF"/>
            <w:vAlign w:val="center"/>
            <w:hideMark/>
          </w:tcPr>
          <w:p w14:paraId="2246005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49.7%</w:t>
            </w:r>
          </w:p>
        </w:tc>
        <w:tc>
          <w:tcPr>
            <w:tcW w:w="709" w:type="dxa"/>
            <w:tcBorders>
              <w:top w:val="nil"/>
              <w:left w:val="nil"/>
              <w:bottom w:val="nil"/>
              <w:right w:val="nil"/>
            </w:tcBorders>
            <w:shd w:val="clear" w:color="000000" w:fill="FFFFFF"/>
            <w:vAlign w:val="center"/>
            <w:hideMark/>
          </w:tcPr>
          <w:p w14:paraId="72877BE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48.3%</w:t>
            </w:r>
          </w:p>
        </w:tc>
      </w:tr>
      <w:tr w:rsidR="00195EDA" w:rsidRPr="0072243E" w14:paraId="5A329E09" w14:textId="77777777" w:rsidTr="0072243E">
        <w:trPr>
          <w:trHeight w:val="270"/>
        </w:trPr>
        <w:tc>
          <w:tcPr>
            <w:tcW w:w="993" w:type="dxa"/>
            <w:vMerge/>
            <w:tcBorders>
              <w:top w:val="nil"/>
              <w:left w:val="nil"/>
              <w:bottom w:val="double" w:sz="6" w:space="0" w:color="000000"/>
              <w:right w:val="nil"/>
            </w:tcBorders>
            <w:vAlign w:val="center"/>
            <w:hideMark/>
          </w:tcPr>
          <w:p w14:paraId="315FA67D"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3D82C49B"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Sin empleo</w:t>
            </w:r>
          </w:p>
        </w:tc>
        <w:tc>
          <w:tcPr>
            <w:tcW w:w="709" w:type="dxa"/>
            <w:tcBorders>
              <w:top w:val="nil"/>
              <w:left w:val="nil"/>
              <w:bottom w:val="nil"/>
              <w:right w:val="nil"/>
            </w:tcBorders>
            <w:shd w:val="clear" w:color="000000" w:fill="FFFFFF"/>
            <w:vAlign w:val="center"/>
            <w:hideMark/>
          </w:tcPr>
          <w:p w14:paraId="5CBD34D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20.6%</w:t>
            </w:r>
          </w:p>
        </w:tc>
        <w:tc>
          <w:tcPr>
            <w:tcW w:w="850" w:type="dxa"/>
            <w:tcBorders>
              <w:top w:val="nil"/>
              <w:left w:val="nil"/>
              <w:bottom w:val="nil"/>
              <w:right w:val="nil"/>
            </w:tcBorders>
            <w:shd w:val="clear" w:color="000000" w:fill="FFFFFF"/>
            <w:vAlign w:val="center"/>
            <w:hideMark/>
          </w:tcPr>
          <w:p w14:paraId="61A00CD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5.7%</w:t>
            </w:r>
          </w:p>
        </w:tc>
        <w:tc>
          <w:tcPr>
            <w:tcW w:w="709" w:type="dxa"/>
            <w:tcBorders>
              <w:top w:val="nil"/>
              <w:left w:val="nil"/>
              <w:bottom w:val="nil"/>
              <w:right w:val="nil"/>
            </w:tcBorders>
            <w:shd w:val="clear" w:color="000000" w:fill="FFFFFF"/>
            <w:vAlign w:val="center"/>
            <w:hideMark/>
          </w:tcPr>
          <w:p w14:paraId="541988E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13.9%</w:t>
            </w:r>
          </w:p>
        </w:tc>
        <w:tc>
          <w:tcPr>
            <w:tcW w:w="850" w:type="dxa"/>
            <w:tcBorders>
              <w:top w:val="nil"/>
              <w:left w:val="nil"/>
              <w:bottom w:val="nil"/>
              <w:right w:val="nil"/>
            </w:tcBorders>
            <w:shd w:val="clear" w:color="000000" w:fill="FFFFFF"/>
            <w:vAlign w:val="center"/>
            <w:hideMark/>
          </w:tcPr>
          <w:p w14:paraId="72A6800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24.0%</w:t>
            </w:r>
          </w:p>
        </w:tc>
        <w:tc>
          <w:tcPr>
            <w:tcW w:w="709" w:type="dxa"/>
            <w:tcBorders>
              <w:top w:val="nil"/>
              <w:left w:val="nil"/>
              <w:bottom w:val="nil"/>
              <w:right w:val="nil"/>
            </w:tcBorders>
            <w:shd w:val="clear" w:color="000000" w:fill="FFFFFF"/>
            <w:vAlign w:val="center"/>
            <w:hideMark/>
          </w:tcPr>
          <w:p w14:paraId="788A728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2.3%</w:t>
            </w:r>
          </w:p>
        </w:tc>
        <w:tc>
          <w:tcPr>
            <w:tcW w:w="709" w:type="dxa"/>
            <w:tcBorders>
              <w:top w:val="nil"/>
              <w:left w:val="nil"/>
              <w:bottom w:val="nil"/>
              <w:right w:val="nil"/>
            </w:tcBorders>
            <w:shd w:val="clear" w:color="000000" w:fill="FFFFFF"/>
            <w:vAlign w:val="center"/>
            <w:hideMark/>
          </w:tcPr>
          <w:p w14:paraId="72583A6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8.5%</w:t>
            </w:r>
          </w:p>
        </w:tc>
        <w:tc>
          <w:tcPr>
            <w:tcW w:w="709" w:type="dxa"/>
            <w:tcBorders>
              <w:top w:val="nil"/>
              <w:left w:val="nil"/>
              <w:bottom w:val="nil"/>
              <w:right w:val="nil"/>
            </w:tcBorders>
            <w:shd w:val="clear" w:color="000000" w:fill="FFFFFF"/>
            <w:vAlign w:val="center"/>
            <w:hideMark/>
          </w:tcPr>
          <w:p w14:paraId="3DC52C0D"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12.6%</w:t>
            </w:r>
          </w:p>
        </w:tc>
        <w:tc>
          <w:tcPr>
            <w:tcW w:w="708" w:type="dxa"/>
            <w:tcBorders>
              <w:top w:val="nil"/>
              <w:left w:val="nil"/>
              <w:bottom w:val="nil"/>
              <w:right w:val="nil"/>
            </w:tcBorders>
            <w:shd w:val="clear" w:color="000000" w:fill="FFFFFF"/>
            <w:vAlign w:val="center"/>
            <w:hideMark/>
          </w:tcPr>
          <w:p w14:paraId="5037D63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2.4%</w:t>
            </w:r>
          </w:p>
        </w:tc>
        <w:tc>
          <w:tcPr>
            <w:tcW w:w="709" w:type="dxa"/>
            <w:tcBorders>
              <w:top w:val="nil"/>
              <w:left w:val="nil"/>
              <w:bottom w:val="nil"/>
              <w:right w:val="nil"/>
            </w:tcBorders>
            <w:shd w:val="clear" w:color="000000" w:fill="FFFFFF"/>
            <w:vAlign w:val="center"/>
            <w:hideMark/>
          </w:tcPr>
          <w:p w14:paraId="0921367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7.7%</w:t>
            </w:r>
          </w:p>
        </w:tc>
      </w:tr>
      <w:tr w:rsidR="00195EDA" w:rsidRPr="0072243E" w14:paraId="143B0CFE" w14:textId="77777777" w:rsidTr="0072243E">
        <w:trPr>
          <w:trHeight w:val="270"/>
        </w:trPr>
        <w:tc>
          <w:tcPr>
            <w:tcW w:w="993" w:type="dxa"/>
            <w:vMerge/>
            <w:tcBorders>
              <w:top w:val="nil"/>
              <w:left w:val="nil"/>
              <w:bottom w:val="double" w:sz="6" w:space="0" w:color="000000"/>
              <w:right w:val="nil"/>
            </w:tcBorders>
            <w:vAlign w:val="center"/>
            <w:hideMark/>
          </w:tcPr>
          <w:p w14:paraId="62E5AB50"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1FEA196B"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Estudia</w:t>
            </w:r>
          </w:p>
        </w:tc>
        <w:tc>
          <w:tcPr>
            <w:tcW w:w="709" w:type="dxa"/>
            <w:tcBorders>
              <w:top w:val="nil"/>
              <w:left w:val="nil"/>
              <w:bottom w:val="nil"/>
              <w:right w:val="nil"/>
            </w:tcBorders>
            <w:shd w:val="clear" w:color="000000" w:fill="FFFFFF"/>
            <w:vAlign w:val="center"/>
            <w:hideMark/>
          </w:tcPr>
          <w:p w14:paraId="72DDF34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4.3%</w:t>
            </w:r>
          </w:p>
        </w:tc>
        <w:tc>
          <w:tcPr>
            <w:tcW w:w="850" w:type="dxa"/>
            <w:tcBorders>
              <w:top w:val="nil"/>
              <w:left w:val="nil"/>
              <w:bottom w:val="nil"/>
              <w:right w:val="nil"/>
            </w:tcBorders>
            <w:shd w:val="clear" w:color="000000" w:fill="FFFFFF"/>
            <w:vAlign w:val="center"/>
            <w:hideMark/>
          </w:tcPr>
          <w:p w14:paraId="47CB3A6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4.3%</w:t>
            </w:r>
          </w:p>
        </w:tc>
        <w:tc>
          <w:tcPr>
            <w:tcW w:w="709" w:type="dxa"/>
            <w:tcBorders>
              <w:top w:val="nil"/>
              <w:left w:val="nil"/>
              <w:bottom w:val="nil"/>
              <w:right w:val="nil"/>
            </w:tcBorders>
            <w:shd w:val="clear" w:color="000000" w:fill="FFFFFF"/>
            <w:vAlign w:val="center"/>
            <w:hideMark/>
          </w:tcPr>
          <w:p w14:paraId="5A8D014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5.6%</w:t>
            </w:r>
          </w:p>
        </w:tc>
        <w:tc>
          <w:tcPr>
            <w:tcW w:w="850" w:type="dxa"/>
            <w:tcBorders>
              <w:top w:val="nil"/>
              <w:left w:val="nil"/>
              <w:bottom w:val="nil"/>
              <w:right w:val="nil"/>
            </w:tcBorders>
            <w:shd w:val="clear" w:color="000000" w:fill="FFFFFF"/>
            <w:vAlign w:val="center"/>
            <w:hideMark/>
          </w:tcPr>
          <w:p w14:paraId="6E77A60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19.5%</w:t>
            </w:r>
          </w:p>
        </w:tc>
        <w:tc>
          <w:tcPr>
            <w:tcW w:w="709" w:type="dxa"/>
            <w:tcBorders>
              <w:top w:val="nil"/>
              <w:left w:val="nil"/>
              <w:bottom w:val="nil"/>
              <w:right w:val="nil"/>
            </w:tcBorders>
            <w:shd w:val="clear" w:color="000000" w:fill="FFFFFF"/>
            <w:vAlign w:val="center"/>
            <w:hideMark/>
          </w:tcPr>
          <w:p w14:paraId="7F2A8B6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38.9%</w:t>
            </w:r>
          </w:p>
        </w:tc>
        <w:tc>
          <w:tcPr>
            <w:tcW w:w="709" w:type="dxa"/>
            <w:tcBorders>
              <w:top w:val="nil"/>
              <w:left w:val="nil"/>
              <w:bottom w:val="nil"/>
              <w:right w:val="nil"/>
            </w:tcBorders>
            <w:shd w:val="clear" w:color="000000" w:fill="FFFFFF"/>
            <w:vAlign w:val="center"/>
            <w:hideMark/>
          </w:tcPr>
          <w:p w14:paraId="1E32D54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46.5%</w:t>
            </w:r>
          </w:p>
        </w:tc>
        <w:tc>
          <w:tcPr>
            <w:tcW w:w="709" w:type="dxa"/>
            <w:tcBorders>
              <w:top w:val="nil"/>
              <w:left w:val="nil"/>
              <w:bottom w:val="nil"/>
              <w:right w:val="nil"/>
            </w:tcBorders>
            <w:shd w:val="clear" w:color="000000" w:fill="FFFFFF"/>
            <w:vAlign w:val="center"/>
            <w:hideMark/>
          </w:tcPr>
          <w:p w14:paraId="1F2D873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12.7%</w:t>
            </w:r>
          </w:p>
        </w:tc>
        <w:tc>
          <w:tcPr>
            <w:tcW w:w="708" w:type="dxa"/>
            <w:tcBorders>
              <w:top w:val="nil"/>
              <w:left w:val="nil"/>
              <w:bottom w:val="nil"/>
              <w:right w:val="nil"/>
            </w:tcBorders>
            <w:shd w:val="clear" w:color="000000" w:fill="FFFFFF"/>
            <w:vAlign w:val="center"/>
            <w:hideMark/>
          </w:tcPr>
          <w:p w14:paraId="30A95B8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15.9%</w:t>
            </w:r>
          </w:p>
        </w:tc>
        <w:tc>
          <w:tcPr>
            <w:tcW w:w="709" w:type="dxa"/>
            <w:tcBorders>
              <w:top w:val="nil"/>
              <w:left w:val="nil"/>
              <w:bottom w:val="nil"/>
              <w:right w:val="nil"/>
            </w:tcBorders>
            <w:shd w:val="clear" w:color="000000" w:fill="FFFFFF"/>
            <w:vAlign w:val="center"/>
            <w:hideMark/>
          </w:tcPr>
          <w:p w14:paraId="6C29A20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15.8%</w:t>
            </w:r>
          </w:p>
        </w:tc>
      </w:tr>
      <w:tr w:rsidR="00195EDA" w:rsidRPr="0072243E" w14:paraId="072FAF00" w14:textId="77777777" w:rsidTr="0072243E">
        <w:trPr>
          <w:trHeight w:val="405"/>
        </w:trPr>
        <w:tc>
          <w:tcPr>
            <w:tcW w:w="993" w:type="dxa"/>
            <w:vMerge/>
            <w:tcBorders>
              <w:top w:val="nil"/>
              <w:left w:val="nil"/>
              <w:bottom w:val="double" w:sz="6" w:space="0" w:color="000000"/>
              <w:right w:val="nil"/>
            </w:tcBorders>
            <w:vAlign w:val="center"/>
            <w:hideMark/>
          </w:tcPr>
          <w:p w14:paraId="386E2359"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744ED436"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Se dedica a quehaceres del hogar</w:t>
            </w:r>
          </w:p>
        </w:tc>
        <w:tc>
          <w:tcPr>
            <w:tcW w:w="709" w:type="dxa"/>
            <w:tcBorders>
              <w:top w:val="nil"/>
              <w:left w:val="nil"/>
              <w:bottom w:val="nil"/>
              <w:right w:val="nil"/>
            </w:tcBorders>
            <w:shd w:val="clear" w:color="000000" w:fill="FFFFFF"/>
            <w:vAlign w:val="center"/>
            <w:hideMark/>
          </w:tcPr>
          <w:p w14:paraId="0F30156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17.2%</w:t>
            </w:r>
          </w:p>
        </w:tc>
        <w:tc>
          <w:tcPr>
            <w:tcW w:w="850" w:type="dxa"/>
            <w:tcBorders>
              <w:top w:val="nil"/>
              <w:left w:val="nil"/>
              <w:bottom w:val="nil"/>
              <w:right w:val="nil"/>
            </w:tcBorders>
            <w:shd w:val="clear" w:color="000000" w:fill="FFFFFF"/>
            <w:vAlign w:val="center"/>
            <w:hideMark/>
          </w:tcPr>
          <w:p w14:paraId="42B0E42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15.0%</w:t>
            </w:r>
          </w:p>
        </w:tc>
        <w:tc>
          <w:tcPr>
            <w:tcW w:w="709" w:type="dxa"/>
            <w:tcBorders>
              <w:top w:val="nil"/>
              <w:left w:val="nil"/>
              <w:bottom w:val="nil"/>
              <w:right w:val="nil"/>
            </w:tcBorders>
            <w:shd w:val="clear" w:color="000000" w:fill="FFFFFF"/>
            <w:vAlign w:val="center"/>
            <w:hideMark/>
          </w:tcPr>
          <w:p w14:paraId="172DBC0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16.8%</w:t>
            </w:r>
          </w:p>
        </w:tc>
        <w:tc>
          <w:tcPr>
            <w:tcW w:w="850" w:type="dxa"/>
            <w:tcBorders>
              <w:top w:val="nil"/>
              <w:left w:val="nil"/>
              <w:bottom w:val="nil"/>
              <w:right w:val="nil"/>
            </w:tcBorders>
            <w:shd w:val="clear" w:color="000000" w:fill="FFFFFF"/>
            <w:vAlign w:val="center"/>
            <w:hideMark/>
          </w:tcPr>
          <w:p w14:paraId="50934F2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14.3%</w:t>
            </w:r>
          </w:p>
        </w:tc>
        <w:tc>
          <w:tcPr>
            <w:tcW w:w="709" w:type="dxa"/>
            <w:tcBorders>
              <w:top w:val="nil"/>
              <w:left w:val="nil"/>
              <w:bottom w:val="nil"/>
              <w:right w:val="nil"/>
            </w:tcBorders>
            <w:shd w:val="clear" w:color="000000" w:fill="FFFFFF"/>
            <w:vAlign w:val="center"/>
            <w:hideMark/>
          </w:tcPr>
          <w:p w14:paraId="3E50799D"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14.2%</w:t>
            </w:r>
          </w:p>
        </w:tc>
        <w:tc>
          <w:tcPr>
            <w:tcW w:w="709" w:type="dxa"/>
            <w:tcBorders>
              <w:top w:val="nil"/>
              <w:left w:val="nil"/>
              <w:bottom w:val="nil"/>
              <w:right w:val="nil"/>
            </w:tcBorders>
            <w:shd w:val="clear" w:color="000000" w:fill="FFFFFF"/>
            <w:vAlign w:val="center"/>
            <w:hideMark/>
          </w:tcPr>
          <w:p w14:paraId="30564BD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11.1%</w:t>
            </w:r>
          </w:p>
        </w:tc>
        <w:tc>
          <w:tcPr>
            <w:tcW w:w="709" w:type="dxa"/>
            <w:tcBorders>
              <w:top w:val="nil"/>
              <w:left w:val="nil"/>
              <w:bottom w:val="nil"/>
              <w:right w:val="nil"/>
            </w:tcBorders>
            <w:shd w:val="clear" w:color="000000" w:fill="FFFFFF"/>
            <w:vAlign w:val="center"/>
            <w:hideMark/>
          </w:tcPr>
          <w:p w14:paraId="79A81560"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22.7%</w:t>
            </w:r>
          </w:p>
        </w:tc>
        <w:tc>
          <w:tcPr>
            <w:tcW w:w="708" w:type="dxa"/>
            <w:tcBorders>
              <w:top w:val="nil"/>
              <w:left w:val="nil"/>
              <w:bottom w:val="nil"/>
              <w:right w:val="nil"/>
            </w:tcBorders>
            <w:shd w:val="clear" w:color="000000" w:fill="FFFFFF"/>
            <w:vAlign w:val="center"/>
            <w:hideMark/>
          </w:tcPr>
          <w:p w14:paraId="4048EC6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23.8%</w:t>
            </w:r>
          </w:p>
        </w:tc>
        <w:tc>
          <w:tcPr>
            <w:tcW w:w="709" w:type="dxa"/>
            <w:tcBorders>
              <w:top w:val="nil"/>
              <w:left w:val="nil"/>
              <w:bottom w:val="nil"/>
              <w:right w:val="nil"/>
            </w:tcBorders>
            <w:shd w:val="clear" w:color="000000" w:fill="FFFFFF"/>
            <w:vAlign w:val="center"/>
            <w:hideMark/>
          </w:tcPr>
          <w:p w14:paraId="48A1EDE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23.2%</w:t>
            </w:r>
          </w:p>
        </w:tc>
      </w:tr>
      <w:tr w:rsidR="00195EDA" w:rsidRPr="0072243E" w14:paraId="4084A476" w14:textId="77777777" w:rsidTr="0072243E">
        <w:trPr>
          <w:trHeight w:val="270"/>
        </w:trPr>
        <w:tc>
          <w:tcPr>
            <w:tcW w:w="993" w:type="dxa"/>
            <w:vMerge/>
            <w:tcBorders>
              <w:top w:val="nil"/>
              <w:left w:val="nil"/>
              <w:bottom w:val="double" w:sz="6" w:space="0" w:color="000000"/>
              <w:right w:val="nil"/>
            </w:tcBorders>
            <w:vAlign w:val="center"/>
            <w:hideMark/>
          </w:tcPr>
          <w:p w14:paraId="4B5959CF"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3DD726A0"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PNEA</w:t>
            </w:r>
          </w:p>
        </w:tc>
        <w:tc>
          <w:tcPr>
            <w:tcW w:w="709" w:type="dxa"/>
            <w:tcBorders>
              <w:top w:val="nil"/>
              <w:left w:val="nil"/>
              <w:bottom w:val="nil"/>
              <w:right w:val="nil"/>
            </w:tcBorders>
            <w:shd w:val="clear" w:color="000000" w:fill="FFFFFF"/>
            <w:vAlign w:val="center"/>
            <w:hideMark/>
          </w:tcPr>
          <w:p w14:paraId="01F1AC7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1.6%</w:t>
            </w:r>
          </w:p>
        </w:tc>
        <w:tc>
          <w:tcPr>
            <w:tcW w:w="850" w:type="dxa"/>
            <w:tcBorders>
              <w:top w:val="nil"/>
              <w:left w:val="nil"/>
              <w:bottom w:val="nil"/>
              <w:right w:val="nil"/>
            </w:tcBorders>
            <w:shd w:val="clear" w:color="000000" w:fill="FFFFFF"/>
            <w:vAlign w:val="center"/>
            <w:hideMark/>
          </w:tcPr>
          <w:p w14:paraId="2F71C04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9.4%</w:t>
            </w:r>
          </w:p>
        </w:tc>
        <w:tc>
          <w:tcPr>
            <w:tcW w:w="709" w:type="dxa"/>
            <w:tcBorders>
              <w:top w:val="nil"/>
              <w:left w:val="nil"/>
              <w:bottom w:val="nil"/>
              <w:right w:val="nil"/>
            </w:tcBorders>
            <w:shd w:val="clear" w:color="000000" w:fill="FFFFFF"/>
            <w:vAlign w:val="center"/>
            <w:hideMark/>
          </w:tcPr>
          <w:p w14:paraId="39EAFB8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2.7%</w:t>
            </w:r>
          </w:p>
        </w:tc>
        <w:tc>
          <w:tcPr>
            <w:tcW w:w="850" w:type="dxa"/>
            <w:tcBorders>
              <w:top w:val="nil"/>
              <w:left w:val="nil"/>
              <w:bottom w:val="nil"/>
              <w:right w:val="nil"/>
            </w:tcBorders>
            <w:shd w:val="clear" w:color="000000" w:fill="FFFFFF"/>
            <w:vAlign w:val="center"/>
            <w:hideMark/>
          </w:tcPr>
          <w:p w14:paraId="06BF50D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6.1%</w:t>
            </w:r>
          </w:p>
        </w:tc>
        <w:tc>
          <w:tcPr>
            <w:tcW w:w="709" w:type="dxa"/>
            <w:tcBorders>
              <w:top w:val="nil"/>
              <w:left w:val="nil"/>
              <w:bottom w:val="nil"/>
              <w:right w:val="nil"/>
            </w:tcBorders>
            <w:shd w:val="clear" w:color="000000" w:fill="FFFFFF"/>
            <w:vAlign w:val="center"/>
            <w:hideMark/>
          </w:tcPr>
          <w:p w14:paraId="748C2A4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12.9%</w:t>
            </w:r>
          </w:p>
        </w:tc>
        <w:tc>
          <w:tcPr>
            <w:tcW w:w="709" w:type="dxa"/>
            <w:tcBorders>
              <w:top w:val="nil"/>
              <w:left w:val="nil"/>
              <w:bottom w:val="nil"/>
              <w:right w:val="nil"/>
            </w:tcBorders>
            <w:shd w:val="clear" w:color="000000" w:fill="FFFFFF"/>
            <w:vAlign w:val="center"/>
            <w:hideMark/>
          </w:tcPr>
          <w:p w14:paraId="403FDE0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6.1%</w:t>
            </w:r>
          </w:p>
        </w:tc>
        <w:tc>
          <w:tcPr>
            <w:tcW w:w="709" w:type="dxa"/>
            <w:tcBorders>
              <w:top w:val="nil"/>
              <w:left w:val="nil"/>
              <w:bottom w:val="nil"/>
              <w:right w:val="nil"/>
            </w:tcBorders>
            <w:shd w:val="clear" w:color="000000" w:fill="FFFFFF"/>
            <w:vAlign w:val="center"/>
            <w:hideMark/>
          </w:tcPr>
          <w:p w14:paraId="6D34CD50"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1.8%</w:t>
            </w:r>
          </w:p>
        </w:tc>
        <w:tc>
          <w:tcPr>
            <w:tcW w:w="708" w:type="dxa"/>
            <w:tcBorders>
              <w:top w:val="nil"/>
              <w:left w:val="nil"/>
              <w:bottom w:val="nil"/>
              <w:right w:val="nil"/>
            </w:tcBorders>
            <w:shd w:val="clear" w:color="000000" w:fill="FFFFFF"/>
            <w:vAlign w:val="center"/>
            <w:hideMark/>
          </w:tcPr>
          <w:p w14:paraId="1DB5670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7.6%</w:t>
            </w:r>
          </w:p>
        </w:tc>
        <w:tc>
          <w:tcPr>
            <w:tcW w:w="709" w:type="dxa"/>
            <w:tcBorders>
              <w:top w:val="nil"/>
              <w:left w:val="nil"/>
              <w:bottom w:val="nil"/>
              <w:right w:val="nil"/>
            </w:tcBorders>
            <w:shd w:val="clear" w:color="000000" w:fill="FFFFFF"/>
            <w:vAlign w:val="center"/>
            <w:hideMark/>
          </w:tcPr>
          <w:p w14:paraId="533F5AA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4.8%</w:t>
            </w:r>
          </w:p>
        </w:tc>
      </w:tr>
      <w:tr w:rsidR="00195EDA" w:rsidRPr="0072243E" w14:paraId="49F96E31" w14:textId="77777777" w:rsidTr="0072243E">
        <w:trPr>
          <w:trHeight w:val="270"/>
        </w:trPr>
        <w:tc>
          <w:tcPr>
            <w:tcW w:w="993" w:type="dxa"/>
            <w:vMerge/>
            <w:tcBorders>
              <w:top w:val="nil"/>
              <w:left w:val="nil"/>
              <w:bottom w:val="double" w:sz="6" w:space="0" w:color="000000"/>
              <w:right w:val="nil"/>
            </w:tcBorders>
            <w:vAlign w:val="center"/>
            <w:hideMark/>
          </w:tcPr>
          <w:p w14:paraId="3BA611C4"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double" w:sz="6" w:space="0" w:color="auto"/>
              <w:right w:val="nil"/>
            </w:tcBorders>
            <w:shd w:val="clear" w:color="000000" w:fill="FFFFFF"/>
            <w:vAlign w:val="center"/>
            <w:hideMark/>
          </w:tcPr>
          <w:p w14:paraId="6D04704E"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No especificado</w:t>
            </w:r>
          </w:p>
        </w:tc>
        <w:tc>
          <w:tcPr>
            <w:tcW w:w="709" w:type="dxa"/>
            <w:tcBorders>
              <w:top w:val="nil"/>
              <w:left w:val="nil"/>
              <w:bottom w:val="double" w:sz="6" w:space="0" w:color="auto"/>
              <w:right w:val="nil"/>
            </w:tcBorders>
            <w:shd w:val="clear" w:color="000000" w:fill="FFFFFF"/>
            <w:vAlign w:val="center"/>
            <w:hideMark/>
          </w:tcPr>
          <w:p w14:paraId="5E5553F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w:t>
            </w:r>
          </w:p>
        </w:tc>
        <w:tc>
          <w:tcPr>
            <w:tcW w:w="850" w:type="dxa"/>
            <w:tcBorders>
              <w:top w:val="nil"/>
              <w:left w:val="nil"/>
              <w:bottom w:val="double" w:sz="6" w:space="0" w:color="auto"/>
              <w:right w:val="nil"/>
            </w:tcBorders>
            <w:shd w:val="clear" w:color="000000" w:fill="FFFFFF"/>
            <w:vAlign w:val="center"/>
            <w:hideMark/>
          </w:tcPr>
          <w:p w14:paraId="0A82759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w:t>
            </w:r>
          </w:p>
        </w:tc>
        <w:tc>
          <w:tcPr>
            <w:tcW w:w="709" w:type="dxa"/>
            <w:tcBorders>
              <w:top w:val="nil"/>
              <w:left w:val="nil"/>
              <w:bottom w:val="double" w:sz="6" w:space="0" w:color="auto"/>
              <w:right w:val="nil"/>
            </w:tcBorders>
            <w:shd w:val="clear" w:color="000000" w:fill="FFFFFF"/>
            <w:vAlign w:val="center"/>
            <w:hideMark/>
          </w:tcPr>
          <w:p w14:paraId="49E69D7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w:t>
            </w:r>
          </w:p>
        </w:tc>
        <w:tc>
          <w:tcPr>
            <w:tcW w:w="850" w:type="dxa"/>
            <w:tcBorders>
              <w:top w:val="nil"/>
              <w:left w:val="nil"/>
              <w:bottom w:val="double" w:sz="6" w:space="0" w:color="auto"/>
              <w:right w:val="nil"/>
            </w:tcBorders>
            <w:shd w:val="clear" w:color="000000" w:fill="FFFFFF"/>
            <w:vAlign w:val="center"/>
            <w:hideMark/>
          </w:tcPr>
          <w:p w14:paraId="2F33B61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.7%</w:t>
            </w:r>
          </w:p>
        </w:tc>
        <w:tc>
          <w:tcPr>
            <w:tcW w:w="709" w:type="dxa"/>
            <w:tcBorders>
              <w:top w:val="nil"/>
              <w:left w:val="nil"/>
              <w:bottom w:val="double" w:sz="6" w:space="0" w:color="auto"/>
              <w:right w:val="nil"/>
            </w:tcBorders>
            <w:shd w:val="clear" w:color="000000" w:fill="FFFFFF"/>
            <w:vAlign w:val="center"/>
            <w:hideMark/>
          </w:tcPr>
          <w:p w14:paraId="6DDE9F9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.8%</w:t>
            </w:r>
          </w:p>
        </w:tc>
        <w:tc>
          <w:tcPr>
            <w:tcW w:w="709" w:type="dxa"/>
            <w:tcBorders>
              <w:top w:val="nil"/>
              <w:left w:val="nil"/>
              <w:bottom w:val="double" w:sz="6" w:space="0" w:color="auto"/>
              <w:right w:val="nil"/>
            </w:tcBorders>
            <w:shd w:val="clear" w:color="000000" w:fill="FFFFFF"/>
            <w:vAlign w:val="center"/>
            <w:hideMark/>
          </w:tcPr>
          <w:p w14:paraId="109C9BDA"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w:t>
            </w:r>
          </w:p>
        </w:tc>
        <w:tc>
          <w:tcPr>
            <w:tcW w:w="709" w:type="dxa"/>
            <w:tcBorders>
              <w:top w:val="nil"/>
              <w:left w:val="nil"/>
              <w:bottom w:val="double" w:sz="6" w:space="0" w:color="auto"/>
              <w:right w:val="nil"/>
            </w:tcBorders>
            <w:shd w:val="clear" w:color="000000" w:fill="FFFFFF"/>
            <w:vAlign w:val="center"/>
            <w:hideMark/>
          </w:tcPr>
          <w:p w14:paraId="6313BEC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w:t>
            </w:r>
          </w:p>
        </w:tc>
        <w:tc>
          <w:tcPr>
            <w:tcW w:w="708" w:type="dxa"/>
            <w:tcBorders>
              <w:top w:val="nil"/>
              <w:left w:val="nil"/>
              <w:bottom w:val="double" w:sz="6" w:space="0" w:color="auto"/>
              <w:right w:val="nil"/>
            </w:tcBorders>
            <w:shd w:val="clear" w:color="000000" w:fill="FFFFFF"/>
            <w:vAlign w:val="center"/>
            <w:hideMark/>
          </w:tcPr>
          <w:p w14:paraId="0789D3A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w:t>
            </w:r>
          </w:p>
        </w:tc>
        <w:tc>
          <w:tcPr>
            <w:tcW w:w="709" w:type="dxa"/>
            <w:tcBorders>
              <w:top w:val="nil"/>
              <w:left w:val="nil"/>
              <w:bottom w:val="double" w:sz="6" w:space="0" w:color="auto"/>
              <w:right w:val="nil"/>
            </w:tcBorders>
            <w:shd w:val="clear" w:color="000000" w:fill="FFFFFF"/>
            <w:vAlign w:val="center"/>
            <w:hideMark/>
          </w:tcPr>
          <w:p w14:paraId="4D8A33F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w:t>
            </w:r>
          </w:p>
        </w:tc>
      </w:tr>
      <w:tr w:rsidR="00195EDA" w:rsidRPr="0072243E" w14:paraId="0A675530" w14:textId="77777777" w:rsidTr="0072243E">
        <w:trPr>
          <w:trHeight w:val="270"/>
        </w:trPr>
        <w:tc>
          <w:tcPr>
            <w:tcW w:w="993" w:type="dxa"/>
            <w:vMerge w:val="restart"/>
            <w:tcBorders>
              <w:top w:val="nil"/>
              <w:left w:val="nil"/>
              <w:bottom w:val="double" w:sz="6" w:space="0" w:color="000000"/>
              <w:right w:val="nil"/>
            </w:tcBorders>
            <w:shd w:val="clear" w:color="000000" w:fill="FFFFFF"/>
            <w:vAlign w:val="center"/>
            <w:hideMark/>
          </w:tcPr>
          <w:p w14:paraId="01051C41"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Posición en el trabajo</w:t>
            </w:r>
          </w:p>
        </w:tc>
        <w:tc>
          <w:tcPr>
            <w:tcW w:w="1559" w:type="dxa"/>
            <w:tcBorders>
              <w:top w:val="nil"/>
              <w:left w:val="nil"/>
              <w:bottom w:val="nil"/>
              <w:right w:val="nil"/>
            </w:tcBorders>
            <w:shd w:val="clear" w:color="000000" w:fill="FFFFFF"/>
            <w:vAlign w:val="center"/>
            <w:hideMark/>
          </w:tcPr>
          <w:p w14:paraId="3C19A3E8"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Empleado(a) u obrero(a)</w:t>
            </w:r>
          </w:p>
        </w:tc>
        <w:tc>
          <w:tcPr>
            <w:tcW w:w="709" w:type="dxa"/>
            <w:tcBorders>
              <w:top w:val="nil"/>
              <w:left w:val="nil"/>
              <w:bottom w:val="nil"/>
              <w:right w:val="nil"/>
            </w:tcBorders>
            <w:shd w:val="clear" w:color="000000" w:fill="FFFFFF"/>
            <w:vAlign w:val="center"/>
            <w:hideMark/>
          </w:tcPr>
          <w:p w14:paraId="3EB1E14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48.3%</w:t>
            </w:r>
          </w:p>
        </w:tc>
        <w:tc>
          <w:tcPr>
            <w:tcW w:w="850" w:type="dxa"/>
            <w:tcBorders>
              <w:top w:val="nil"/>
              <w:left w:val="nil"/>
              <w:bottom w:val="nil"/>
              <w:right w:val="nil"/>
            </w:tcBorders>
            <w:shd w:val="clear" w:color="000000" w:fill="FFFFFF"/>
            <w:vAlign w:val="center"/>
            <w:hideMark/>
          </w:tcPr>
          <w:p w14:paraId="491B8E7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44.4%</w:t>
            </w:r>
          </w:p>
        </w:tc>
        <w:tc>
          <w:tcPr>
            <w:tcW w:w="709" w:type="dxa"/>
            <w:tcBorders>
              <w:top w:val="nil"/>
              <w:left w:val="nil"/>
              <w:bottom w:val="nil"/>
              <w:right w:val="nil"/>
            </w:tcBorders>
            <w:shd w:val="clear" w:color="000000" w:fill="FFFFFF"/>
            <w:vAlign w:val="center"/>
            <w:hideMark/>
          </w:tcPr>
          <w:p w14:paraId="413493B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54.9%</w:t>
            </w:r>
          </w:p>
        </w:tc>
        <w:tc>
          <w:tcPr>
            <w:tcW w:w="850" w:type="dxa"/>
            <w:tcBorders>
              <w:top w:val="nil"/>
              <w:left w:val="nil"/>
              <w:bottom w:val="nil"/>
              <w:right w:val="nil"/>
            </w:tcBorders>
            <w:shd w:val="clear" w:color="000000" w:fill="FFFFFF"/>
            <w:vAlign w:val="center"/>
            <w:hideMark/>
          </w:tcPr>
          <w:p w14:paraId="1913A75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65.1%</w:t>
            </w:r>
          </w:p>
        </w:tc>
        <w:tc>
          <w:tcPr>
            <w:tcW w:w="709" w:type="dxa"/>
            <w:tcBorders>
              <w:top w:val="nil"/>
              <w:left w:val="nil"/>
              <w:bottom w:val="nil"/>
              <w:right w:val="nil"/>
            </w:tcBorders>
            <w:shd w:val="clear" w:color="000000" w:fill="FFFFFF"/>
            <w:vAlign w:val="center"/>
            <w:hideMark/>
          </w:tcPr>
          <w:p w14:paraId="2206FEC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62.8%</w:t>
            </w:r>
          </w:p>
        </w:tc>
        <w:tc>
          <w:tcPr>
            <w:tcW w:w="709" w:type="dxa"/>
            <w:tcBorders>
              <w:top w:val="nil"/>
              <w:left w:val="nil"/>
              <w:bottom w:val="nil"/>
              <w:right w:val="nil"/>
            </w:tcBorders>
            <w:shd w:val="clear" w:color="000000" w:fill="FFFFFF"/>
            <w:vAlign w:val="center"/>
            <w:hideMark/>
          </w:tcPr>
          <w:p w14:paraId="016A150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68.1%</w:t>
            </w:r>
          </w:p>
        </w:tc>
        <w:tc>
          <w:tcPr>
            <w:tcW w:w="709" w:type="dxa"/>
            <w:tcBorders>
              <w:top w:val="nil"/>
              <w:left w:val="nil"/>
              <w:bottom w:val="nil"/>
              <w:right w:val="nil"/>
            </w:tcBorders>
            <w:shd w:val="clear" w:color="000000" w:fill="FFFFFF"/>
            <w:vAlign w:val="center"/>
            <w:hideMark/>
          </w:tcPr>
          <w:p w14:paraId="5DB49DF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59.4%</w:t>
            </w:r>
          </w:p>
        </w:tc>
        <w:tc>
          <w:tcPr>
            <w:tcW w:w="708" w:type="dxa"/>
            <w:tcBorders>
              <w:top w:val="nil"/>
              <w:left w:val="nil"/>
              <w:bottom w:val="nil"/>
              <w:right w:val="nil"/>
            </w:tcBorders>
            <w:shd w:val="clear" w:color="000000" w:fill="FFFFFF"/>
            <w:vAlign w:val="center"/>
            <w:hideMark/>
          </w:tcPr>
          <w:p w14:paraId="751D7F1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57.6%</w:t>
            </w:r>
          </w:p>
        </w:tc>
        <w:tc>
          <w:tcPr>
            <w:tcW w:w="709" w:type="dxa"/>
            <w:tcBorders>
              <w:top w:val="nil"/>
              <w:left w:val="nil"/>
              <w:bottom w:val="nil"/>
              <w:right w:val="nil"/>
            </w:tcBorders>
            <w:shd w:val="clear" w:color="000000" w:fill="FFFFFF"/>
            <w:vAlign w:val="center"/>
            <w:hideMark/>
          </w:tcPr>
          <w:p w14:paraId="07A2C4D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64.5%</w:t>
            </w:r>
          </w:p>
        </w:tc>
      </w:tr>
      <w:tr w:rsidR="00195EDA" w:rsidRPr="0072243E" w14:paraId="65ADF827" w14:textId="77777777" w:rsidTr="0072243E">
        <w:trPr>
          <w:trHeight w:val="270"/>
        </w:trPr>
        <w:tc>
          <w:tcPr>
            <w:tcW w:w="993" w:type="dxa"/>
            <w:vMerge/>
            <w:tcBorders>
              <w:top w:val="nil"/>
              <w:left w:val="nil"/>
              <w:bottom w:val="double" w:sz="6" w:space="0" w:color="000000"/>
              <w:right w:val="nil"/>
            </w:tcBorders>
            <w:vAlign w:val="center"/>
            <w:hideMark/>
          </w:tcPr>
          <w:p w14:paraId="393BD26D"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47047E15"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Jornalero(a) o peón</w:t>
            </w:r>
          </w:p>
        </w:tc>
        <w:tc>
          <w:tcPr>
            <w:tcW w:w="709" w:type="dxa"/>
            <w:tcBorders>
              <w:top w:val="nil"/>
              <w:left w:val="nil"/>
              <w:bottom w:val="nil"/>
              <w:right w:val="nil"/>
            </w:tcBorders>
            <w:shd w:val="clear" w:color="000000" w:fill="FFFFFF"/>
            <w:vAlign w:val="center"/>
            <w:hideMark/>
          </w:tcPr>
          <w:p w14:paraId="1265C75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9.5%</w:t>
            </w:r>
          </w:p>
        </w:tc>
        <w:tc>
          <w:tcPr>
            <w:tcW w:w="850" w:type="dxa"/>
            <w:tcBorders>
              <w:top w:val="nil"/>
              <w:left w:val="nil"/>
              <w:bottom w:val="nil"/>
              <w:right w:val="nil"/>
            </w:tcBorders>
            <w:shd w:val="clear" w:color="000000" w:fill="FFFFFF"/>
            <w:vAlign w:val="center"/>
            <w:hideMark/>
          </w:tcPr>
          <w:p w14:paraId="659D3B0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11.3%</w:t>
            </w:r>
          </w:p>
        </w:tc>
        <w:tc>
          <w:tcPr>
            <w:tcW w:w="709" w:type="dxa"/>
            <w:tcBorders>
              <w:top w:val="nil"/>
              <w:left w:val="nil"/>
              <w:bottom w:val="nil"/>
              <w:right w:val="nil"/>
            </w:tcBorders>
            <w:shd w:val="clear" w:color="000000" w:fill="FFFFFF"/>
            <w:vAlign w:val="center"/>
            <w:hideMark/>
          </w:tcPr>
          <w:p w14:paraId="5BEE875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8.7%</w:t>
            </w:r>
          </w:p>
        </w:tc>
        <w:tc>
          <w:tcPr>
            <w:tcW w:w="850" w:type="dxa"/>
            <w:tcBorders>
              <w:top w:val="nil"/>
              <w:left w:val="nil"/>
              <w:bottom w:val="nil"/>
              <w:right w:val="nil"/>
            </w:tcBorders>
            <w:shd w:val="clear" w:color="000000" w:fill="FFFFFF"/>
            <w:vAlign w:val="center"/>
            <w:hideMark/>
          </w:tcPr>
          <w:p w14:paraId="68CBAC0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2.1%</w:t>
            </w:r>
          </w:p>
        </w:tc>
        <w:tc>
          <w:tcPr>
            <w:tcW w:w="709" w:type="dxa"/>
            <w:tcBorders>
              <w:top w:val="nil"/>
              <w:left w:val="nil"/>
              <w:bottom w:val="nil"/>
              <w:right w:val="nil"/>
            </w:tcBorders>
            <w:shd w:val="clear" w:color="000000" w:fill="FFFFFF"/>
            <w:vAlign w:val="center"/>
            <w:hideMark/>
          </w:tcPr>
          <w:p w14:paraId="6892D5E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2.1%</w:t>
            </w:r>
          </w:p>
        </w:tc>
        <w:tc>
          <w:tcPr>
            <w:tcW w:w="709" w:type="dxa"/>
            <w:tcBorders>
              <w:top w:val="nil"/>
              <w:left w:val="nil"/>
              <w:bottom w:val="nil"/>
              <w:right w:val="nil"/>
            </w:tcBorders>
            <w:shd w:val="clear" w:color="000000" w:fill="FFFFFF"/>
            <w:vAlign w:val="center"/>
            <w:hideMark/>
          </w:tcPr>
          <w:p w14:paraId="64246DC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2.5%</w:t>
            </w:r>
          </w:p>
        </w:tc>
        <w:tc>
          <w:tcPr>
            <w:tcW w:w="709" w:type="dxa"/>
            <w:tcBorders>
              <w:top w:val="nil"/>
              <w:left w:val="nil"/>
              <w:bottom w:val="nil"/>
              <w:right w:val="nil"/>
            </w:tcBorders>
            <w:shd w:val="clear" w:color="000000" w:fill="FFFFFF"/>
            <w:vAlign w:val="center"/>
            <w:hideMark/>
          </w:tcPr>
          <w:p w14:paraId="649394D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8.0%</w:t>
            </w:r>
          </w:p>
        </w:tc>
        <w:tc>
          <w:tcPr>
            <w:tcW w:w="708" w:type="dxa"/>
            <w:tcBorders>
              <w:top w:val="nil"/>
              <w:left w:val="nil"/>
              <w:bottom w:val="nil"/>
              <w:right w:val="nil"/>
            </w:tcBorders>
            <w:shd w:val="clear" w:color="000000" w:fill="FFFFFF"/>
            <w:vAlign w:val="center"/>
            <w:hideMark/>
          </w:tcPr>
          <w:p w14:paraId="0CC14B5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5.2%</w:t>
            </w:r>
          </w:p>
        </w:tc>
        <w:tc>
          <w:tcPr>
            <w:tcW w:w="709" w:type="dxa"/>
            <w:tcBorders>
              <w:top w:val="nil"/>
              <w:left w:val="nil"/>
              <w:bottom w:val="nil"/>
              <w:right w:val="nil"/>
            </w:tcBorders>
            <w:shd w:val="clear" w:color="000000" w:fill="FFFFFF"/>
            <w:vAlign w:val="center"/>
            <w:hideMark/>
          </w:tcPr>
          <w:p w14:paraId="6E73A5D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4.8%</w:t>
            </w:r>
          </w:p>
        </w:tc>
      </w:tr>
      <w:tr w:rsidR="00195EDA" w:rsidRPr="0072243E" w14:paraId="1EE3B697" w14:textId="77777777" w:rsidTr="0072243E">
        <w:trPr>
          <w:trHeight w:val="270"/>
        </w:trPr>
        <w:tc>
          <w:tcPr>
            <w:tcW w:w="993" w:type="dxa"/>
            <w:vMerge/>
            <w:tcBorders>
              <w:top w:val="nil"/>
              <w:left w:val="nil"/>
              <w:bottom w:val="double" w:sz="6" w:space="0" w:color="000000"/>
              <w:right w:val="nil"/>
            </w:tcBorders>
            <w:vAlign w:val="center"/>
            <w:hideMark/>
          </w:tcPr>
          <w:p w14:paraId="5E15E248"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0896D680"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Ayudante</w:t>
            </w:r>
          </w:p>
        </w:tc>
        <w:tc>
          <w:tcPr>
            <w:tcW w:w="709" w:type="dxa"/>
            <w:tcBorders>
              <w:top w:val="nil"/>
              <w:left w:val="nil"/>
              <w:bottom w:val="nil"/>
              <w:right w:val="nil"/>
            </w:tcBorders>
            <w:shd w:val="clear" w:color="000000" w:fill="FFFFFF"/>
            <w:vAlign w:val="center"/>
            <w:hideMark/>
          </w:tcPr>
          <w:p w14:paraId="1DAFA70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s/d</w:t>
            </w:r>
          </w:p>
        </w:tc>
        <w:tc>
          <w:tcPr>
            <w:tcW w:w="850" w:type="dxa"/>
            <w:tcBorders>
              <w:top w:val="nil"/>
              <w:left w:val="nil"/>
              <w:bottom w:val="nil"/>
              <w:right w:val="nil"/>
            </w:tcBorders>
            <w:shd w:val="clear" w:color="000000" w:fill="FFFFFF"/>
            <w:vAlign w:val="center"/>
            <w:hideMark/>
          </w:tcPr>
          <w:p w14:paraId="76A73F5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6.5%</w:t>
            </w:r>
          </w:p>
        </w:tc>
        <w:tc>
          <w:tcPr>
            <w:tcW w:w="709" w:type="dxa"/>
            <w:tcBorders>
              <w:top w:val="nil"/>
              <w:left w:val="nil"/>
              <w:bottom w:val="nil"/>
              <w:right w:val="nil"/>
            </w:tcBorders>
            <w:shd w:val="clear" w:color="000000" w:fill="FFFFFF"/>
            <w:vAlign w:val="center"/>
            <w:hideMark/>
          </w:tcPr>
          <w:p w14:paraId="09359BE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4.9%</w:t>
            </w:r>
          </w:p>
        </w:tc>
        <w:tc>
          <w:tcPr>
            <w:tcW w:w="850" w:type="dxa"/>
            <w:tcBorders>
              <w:top w:val="nil"/>
              <w:left w:val="nil"/>
              <w:bottom w:val="nil"/>
              <w:right w:val="nil"/>
            </w:tcBorders>
            <w:shd w:val="clear" w:color="000000" w:fill="FFFFFF"/>
            <w:vAlign w:val="center"/>
            <w:hideMark/>
          </w:tcPr>
          <w:p w14:paraId="68AA1E9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s/d</w:t>
            </w:r>
          </w:p>
        </w:tc>
        <w:tc>
          <w:tcPr>
            <w:tcW w:w="709" w:type="dxa"/>
            <w:tcBorders>
              <w:top w:val="nil"/>
              <w:left w:val="nil"/>
              <w:bottom w:val="nil"/>
              <w:right w:val="nil"/>
            </w:tcBorders>
            <w:shd w:val="clear" w:color="000000" w:fill="FFFFFF"/>
            <w:vAlign w:val="center"/>
            <w:hideMark/>
          </w:tcPr>
          <w:p w14:paraId="6165745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5.7%</w:t>
            </w:r>
          </w:p>
        </w:tc>
        <w:tc>
          <w:tcPr>
            <w:tcW w:w="709" w:type="dxa"/>
            <w:tcBorders>
              <w:top w:val="nil"/>
              <w:left w:val="nil"/>
              <w:bottom w:val="nil"/>
              <w:right w:val="nil"/>
            </w:tcBorders>
            <w:shd w:val="clear" w:color="000000" w:fill="FFFFFF"/>
            <w:vAlign w:val="center"/>
            <w:hideMark/>
          </w:tcPr>
          <w:p w14:paraId="0C2DA28D"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4.0%</w:t>
            </w:r>
          </w:p>
        </w:tc>
        <w:tc>
          <w:tcPr>
            <w:tcW w:w="709" w:type="dxa"/>
            <w:tcBorders>
              <w:top w:val="nil"/>
              <w:left w:val="nil"/>
              <w:bottom w:val="nil"/>
              <w:right w:val="nil"/>
            </w:tcBorders>
            <w:shd w:val="clear" w:color="000000" w:fill="FFFFFF"/>
            <w:vAlign w:val="center"/>
            <w:hideMark/>
          </w:tcPr>
          <w:p w14:paraId="4DC1A66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s/d</w:t>
            </w:r>
          </w:p>
        </w:tc>
        <w:tc>
          <w:tcPr>
            <w:tcW w:w="708" w:type="dxa"/>
            <w:tcBorders>
              <w:top w:val="nil"/>
              <w:left w:val="nil"/>
              <w:bottom w:val="nil"/>
              <w:right w:val="nil"/>
            </w:tcBorders>
            <w:shd w:val="clear" w:color="000000" w:fill="FFFFFF"/>
            <w:vAlign w:val="center"/>
            <w:hideMark/>
          </w:tcPr>
          <w:p w14:paraId="1918C90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4.9%</w:t>
            </w:r>
          </w:p>
        </w:tc>
        <w:tc>
          <w:tcPr>
            <w:tcW w:w="709" w:type="dxa"/>
            <w:tcBorders>
              <w:top w:val="nil"/>
              <w:left w:val="nil"/>
              <w:bottom w:val="nil"/>
              <w:right w:val="nil"/>
            </w:tcBorders>
            <w:shd w:val="clear" w:color="000000" w:fill="FFFFFF"/>
            <w:vAlign w:val="center"/>
            <w:hideMark/>
          </w:tcPr>
          <w:p w14:paraId="66E5F48D"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3.9%</w:t>
            </w:r>
          </w:p>
        </w:tc>
      </w:tr>
      <w:tr w:rsidR="00195EDA" w:rsidRPr="0072243E" w14:paraId="03FE01F3" w14:textId="77777777" w:rsidTr="0072243E">
        <w:trPr>
          <w:trHeight w:val="270"/>
        </w:trPr>
        <w:tc>
          <w:tcPr>
            <w:tcW w:w="993" w:type="dxa"/>
            <w:vMerge/>
            <w:tcBorders>
              <w:top w:val="nil"/>
              <w:left w:val="nil"/>
              <w:bottom w:val="double" w:sz="6" w:space="0" w:color="000000"/>
              <w:right w:val="nil"/>
            </w:tcBorders>
            <w:vAlign w:val="center"/>
            <w:hideMark/>
          </w:tcPr>
          <w:p w14:paraId="20E091E1"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6249221A"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Patrón(a)</w:t>
            </w:r>
          </w:p>
        </w:tc>
        <w:tc>
          <w:tcPr>
            <w:tcW w:w="709" w:type="dxa"/>
            <w:tcBorders>
              <w:top w:val="nil"/>
              <w:left w:val="nil"/>
              <w:bottom w:val="nil"/>
              <w:right w:val="nil"/>
            </w:tcBorders>
            <w:shd w:val="clear" w:color="000000" w:fill="FFFFFF"/>
            <w:vAlign w:val="center"/>
            <w:hideMark/>
          </w:tcPr>
          <w:p w14:paraId="2AAE369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4.5%</w:t>
            </w:r>
          </w:p>
        </w:tc>
        <w:tc>
          <w:tcPr>
            <w:tcW w:w="850" w:type="dxa"/>
            <w:tcBorders>
              <w:top w:val="nil"/>
              <w:left w:val="nil"/>
              <w:bottom w:val="nil"/>
              <w:right w:val="nil"/>
            </w:tcBorders>
            <w:shd w:val="clear" w:color="000000" w:fill="FFFFFF"/>
            <w:vAlign w:val="center"/>
            <w:hideMark/>
          </w:tcPr>
          <w:p w14:paraId="7870C49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3.6%</w:t>
            </w:r>
          </w:p>
        </w:tc>
        <w:tc>
          <w:tcPr>
            <w:tcW w:w="709" w:type="dxa"/>
            <w:tcBorders>
              <w:top w:val="nil"/>
              <w:left w:val="nil"/>
              <w:bottom w:val="nil"/>
              <w:right w:val="nil"/>
            </w:tcBorders>
            <w:shd w:val="clear" w:color="000000" w:fill="FFFFFF"/>
            <w:vAlign w:val="center"/>
            <w:hideMark/>
          </w:tcPr>
          <w:p w14:paraId="1934077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4.3%</w:t>
            </w:r>
          </w:p>
        </w:tc>
        <w:tc>
          <w:tcPr>
            <w:tcW w:w="850" w:type="dxa"/>
            <w:tcBorders>
              <w:top w:val="nil"/>
              <w:left w:val="nil"/>
              <w:bottom w:val="nil"/>
              <w:right w:val="nil"/>
            </w:tcBorders>
            <w:shd w:val="clear" w:color="000000" w:fill="FFFFFF"/>
            <w:vAlign w:val="center"/>
            <w:hideMark/>
          </w:tcPr>
          <w:p w14:paraId="7C0E414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7.4%</w:t>
            </w:r>
          </w:p>
        </w:tc>
        <w:tc>
          <w:tcPr>
            <w:tcW w:w="709" w:type="dxa"/>
            <w:tcBorders>
              <w:top w:val="nil"/>
              <w:left w:val="nil"/>
              <w:bottom w:val="nil"/>
              <w:right w:val="nil"/>
            </w:tcBorders>
            <w:shd w:val="clear" w:color="000000" w:fill="FFFFFF"/>
            <w:vAlign w:val="center"/>
            <w:hideMark/>
          </w:tcPr>
          <w:p w14:paraId="49EC439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7.2%</w:t>
            </w:r>
          </w:p>
        </w:tc>
        <w:tc>
          <w:tcPr>
            <w:tcW w:w="709" w:type="dxa"/>
            <w:tcBorders>
              <w:top w:val="nil"/>
              <w:left w:val="nil"/>
              <w:bottom w:val="nil"/>
              <w:right w:val="nil"/>
            </w:tcBorders>
            <w:shd w:val="clear" w:color="000000" w:fill="FFFFFF"/>
            <w:vAlign w:val="center"/>
            <w:hideMark/>
          </w:tcPr>
          <w:p w14:paraId="07E92A2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5.8%</w:t>
            </w:r>
          </w:p>
        </w:tc>
        <w:tc>
          <w:tcPr>
            <w:tcW w:w="709" w:type="dxa"/>
            <w:tcBorders>
              <w:top w:val="nil"/>
              <w:left w:val="nil"/>
              <w:bottom w:val="nil"/>
              <w:right w:val="nil"/>
            </w:tcBorders>
            <w:shd w:val="clear" w:color="000000" w:fill="FFFFFF"/>
            <w:vAlign w:val="center"/>
            <w:hideMark/>
          </w:tcPr>
          <w:p w14:paraId="17030C8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2.5%</w:t>
            </w:r>
          </w:p>
        </w:tc>
        <w:tc>
          <w:tcPr>
            <w:tcW w:w="708" w:type="dxa"/>
            <w:tcBorders>
              <w:top w:val="nil"/>
              <w:left w:val="nil"/>
              <w:bottom w:val="nil"/>
              <w:right w:val="nil"/>
            </w:tcBorders>
            <w:shd w:val="clear" w:color="000000" w:fill="FFFFFF"/>
            <w:vAlign w:val="center"/>
            <w:hideMark/>
          </w:tcPr>
          <w:p w14:paraId="6B03B81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2.8%</w:t>
            </w:r>
          </w:p>
        </w:tc>
        <w:tc>
          <w:tcPr>
            <w:tcW w:w="709" w:type="dxa"/>
            <w:tcBorders>
              <w:top w:val="nil"/>
              <w:left w:val="nil"/>
              <w:bottom w:val="nil"/>
              <w:right w:val="nil"/>
            </w:tcBorders>
            <w:shd w:val="clear" w:color="000000" w:fill="FFFFFF"/>
            <w:vAlign w:val="center"/>
            <w:hideMark/>
          </w:tcPr>
          <w:p w14:paraId="08BADEB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3.2%</w:t>
            </w:r>
          </w:p>
        </w:tc>
      </w:tr>
      <w:tr w:rsidR="00195EDA" w:rsidRPr="0072243E" w14:paraId="33F49AC9" w14:textId="77777777" w:rsidTr="0072243E">
        <w:trPr>
          <w:trHeight w:val="465"/>
        </w:trPr>
        <w:tc>
          <w:tcPr>
            <w:tcW w:w="993" w:type="dxa"/>
            <w:vMerge/>
            <w:tcBorders>
              <w:top w:val="nil"/>
              <w:left w:val="nil"/>
              <w:bottom w:val="double" w:sz="6" w:space="0" w:color="000000"/>
              <w:right w:val="nil"/>
            </w:tcBorders>
            <w:vAlign w:val="center"/>
            <w:hideMark/>
          </w:tcPr>
          <w:p w14:paraId="429D6BFE"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2C44C944"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Trabajador(a) por su cuenta</w:t>
            </w:r>
          </w:p>
        </w:tc>
        <w:tc>
          <w:tcPr>
            <w:tcW w:w="709" w:type="dxa"/>
            <w:tcBorders>
              <w:top w:val="nil"/>
              <w:left w:val="nil"/>
              <w:bottom w:val="nil"/>
              <w:right w:val="nil"/>
            </w:tcBorders>
            <w:shd w:val="clear" w:color="000000" w:fill="FFFFFF"/>
            <w:vAlign w:val="center"/>
            <w:hideMark/>
          </w:tcPr>
          <w:p w14:paraId="65E9EEF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28.2%</w:t>
            </w:r>
          </w:p>
        </w:tc>
        <w:tc>
          <w:tcPr>
            <w:tcW w:w="850" w:type="dxa"/>
            <w:tcBorders>
              <w:top w:val="nil"/>
              <w:left w:val="nil"/>
              <w:bottom w:val="nil"/>
              <w:right w:val="nil"/>
            </w:tcBorders>
            <w:shd w:val="clear" w:color="000000" w:fill="FFFFFF"/>
            <w:vAlign w:val="center"/>
            <w:hideMark/>
          </w:tcPr>
          <w:p w14:paraId="5A80B16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27.7%</w:t>
            </w:r>
          </w:p>
        </w:tc>
        <w:tc>
          <w:tcPr>
            <w:tcW w:w="709" w:type="dxa"/>
            <w:tcBorders>
              <w:top w:val="nil"/>
              <w:left w:val="nil"/>
              <w:bottom w:val="nil"/>
              <w:right w:val="nil"/>
            </w:tcBorders>
            <w:shd w:val="clear" w:color="000000" w:fill="FFFFFF"/>
            <w:vAlign w:val="center"/>
            <w:hideMark/>
          </w:tcPr>
          <w:p w14:paraId="1623719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22.3%</w:t>
            </w:r>
          </w:p>
        </w:tc>
        <w:tc>
          <w:tcPr>
            <w:tcW w:w="850" w:type="dxa"/>
            <w:tcBorders>
              <w:top w:val="nil"/>
              <w:left w:val="nil"/>
              <w:bottom w:val="nil"/>
              <w:right w:val="nil"/>
            </w:tcBorders>
            <w:shd w:val="clear" w:color="000000" w:fill="FFFFFF"/>
            <w:vAlign w:val="center"/>
            <w:hideMark/>
          </w:tcPr>
          <w:p w14:paraId="68C8D91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17.3%</w:t>
            </w:r>
          </w:p>
        </w:tc>
        <w:tc>
          <w:tcPr>
            <w:tcW w:w="709" w:type="dxa"/>
            <w:tcBorders>
              <w:top w:val="nil"/>
              <w:left w:val="nil"/>
              <w:bottom w:val="nil"/>
              <w:right w:val="nil"/>
            </w:tcBorders>
            <w:shd w:val="clear" w:color="000000" w:fill="FFFFFF"/>
            <w:vAlign w:val="center"/>
            <w:hideMark/>
          </w:tcPr>
          <w:p w14:paraId="7C3DF6A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16.8%</w:t>
            </w:r>
          </w:p>
        </w:tc>
        <w:tc>
          <w:tcPr>
            <w:tcW w:w="709" w:type="dxa"/>
            <w:tcBorders>
              <w:top w:val="nil"/>
              <w:left w:val="nil"/>
              <w:bottom w:val="nil"/>
              <w:right w:val="nil"/>
            </w:tcBorders>
            <w:shd w:val="clear" w:color="000000" w:fill="FFFFFF"/>
            <w:vAlign w:val="center"/>
            <w:hideMark/>
          </w:tcPr>
          <w:p w14:paraId="702CBC6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14.8%</w:t>
            </w:r>
          </w:p>
        </w:tc>
        <w:tc>
          <w:tcPr>
            <w:tcW w:w="709" w:type="dxa"/>
            <w:tcBorders>
              <w:top w:val="nil"/>
              <w:left w:val="nil"/>
              <w:bottom w:val="nil"/>
              <w:right w:val="nil"/>
            </w:tcBorders>
            <w:shd w:val="clear" w:color="000000" w:fill="FFFFFF"/>
            <w:vAlign w:val="center"/>
            <w:hideMark/>
          </w:tcPr>
          <w:p w14:paraId="7F43F9B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23.0%</w:t>
            </w:r>
          </w:p>
        </w:tc>
        <w:tc>
          <w:tcPr>
            <w:tcW w:w="708" w:type="dxa"/>
            <w:tcBorders>
              <w:top w:val="nil"/>
              <w:left w:val="nil"/>
              <w:bottom w:val="nil"/>
              <w:right w:val="nil"/>
            </w:tcBorders>
            <w:shd w:val="clear" w:color="000000" w:fill="FFFFFF"/>
            <w:vAlign w:val="center"/>
            <w:hideMark/>
          </w:tcPr>
          <w:p w14:paraId="6DCF633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24.2%</w:t>
            </w:r>
          </w:p>
        </w:tc>
        <w:tc>
          <w:tcPr>
            <w:tcW w:w="709" w:type="dxa"/>
            <w:tcBorders>
              <w:top w:val="nil"/>
              <w:left w:val="nil"/>
              <w:bottom w:val="nil"/>
              <w:right w:val="nil"/>
            </w:tcBorders>
            <w:shd w:val="clear" w:color="000000" w:fill="FFFFFF"/>
            <w:vAlign w:val="center"/>
            <w:hideMark/>
          </w:tcPr>
          <w:p w14:paraId="481DA29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19.6%</w:t>
            </w:r>
          </w:p>
        </w:tc>
      </w:tr>
      <w:tr w:rsidR="00195EDA" w:rsidRPr="0072243E" w14:paraId="63172858" w14:textId="77777777" w:rsidTr="0072243E">
        <w:trPr>
          <w:trHeight w:val="495"/>
        </w:trPr>
        <w:tc>
          <w:tcPr>
            <w:tcW w:w="993" w:type="dxa"/>
            <w:vMerge/>
            <w:tcBorders>
              <w:top w:val="nil"/>
              <w:left w:val="nil"/>
              <w:bottom w:val="double" w:sz="6" w:space="0" w:color="000000"/>
              <w:right w:val="nil"/>
            </w:tcBorders>
            <w:vAlign w:val="center"/>
            <w:hideMark/>
          </w:tcPr>
          <w:p w14:paraId="49E2CF82"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1D3F9ACD"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Trabajador(a) sin pago en el negocio o predio familiar</w:t>
            </w:r>
          </w:p>
        </w:tc>
        <w:tc>
          <w:tcPr>
            <w:tcW w:w="709" w:type="dxa"/>
            <w:tcBorders>
              <w:top w:val="nil"/>
              <w:left w:val="nil"/>
              <w:bottom w:val="nil"/>
              <w:right w:val="nil"/>
            </w:tcBorders>
            <w:shd w:val="clear" w:color="000000" w:fill="FFFFFF"/>
            <w:vAlign w:val="center"/>
            <w:hideMark/>
          </w:tcPr>
          <w:p w14:paraId="2C22658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6.0%</w:t>
            </w:r>
          </w:p>
        </w:tc>
        <w:tc>
          <w:tcPr>
            <w:tcW w:w="850" w:type="dxa"/>
            <w:tcBorders>
              <w:top w:val="nil"/>
              <w:left w:val="nil"/>
              <w:bottom w:val="nil"/>
              <w:right w:val="nil"/>
            </w:tcBorders>
            <w:shd w:val="clear" w:color="000000" w:fill="FFFFFF"/>
            <w:vAlign w:val="center"/>
            <w:hideMark/>
          </w:tcPr>
          <w:p w14:paraId="3E9D57E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4.7%</w:t>
            </w:r>
          </w:p>
        </w:tc>
        <w:tc>
          <w:tcPr>
            <w:tcW w:w="709" w:type="dxa"/>
            <w:tcBorders>
              <w:top w:val="nil"/>
              <w:left w:val="nil"/>
              <w:bottom w:val="nil"/>
              <w:right w:val="nil"/>
            </w:tcBorders>
            <w:shd w:val="clear" w:color="000000" w:fill="FFFFFF"/>
            <w:vAlign w:val="center"/>
            <w:hideMark/>
          </w:tcPr>
          <w:p w14:paraId="35417EA0"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4.1%</w:t>
            </w:r>
          </w:p>
        </w:tc>
        <w:tc>
          <w:tcPr>
            <w:tcW w:w="850" w:type="dxa"/>
            <w:tcBorders>
              <w:top w:val="nil"/>
              <w:left w:val="nil"/>
              <w:bottom w:val="nil"/>
              <w:right w:val="nil"/>
            </w:tcBorders>
            <w:shd w:val="clear" w:color="000000" w:fill="FFFFFF"/>
            <w:vAlign w:val="center"/>
            <w:hideMark/>
          </w:tcPr>
          <w:p w14:paraId="2CA38DD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4.2%</w:t>
            </w:r>
          </w:p>
        </w:tc>
        <w:tc>
          <w:tcPr>
            <w:tcW w:w="709" w:type="dxa"/>
            <w:tcBorders>
              <w:top w:val="nil"/>
              <w:left w:val="nil"/>
              <w:bottom w:val="nil"/>
              <w:right w:val="nil"/>
            </w:tcBorders>
            <w:shd w:val="clear" w:color="000000" w:fill="FFFFFF"/>
            <w:vAlign w:val="center"/>
            <w:hideMark/>
          </w:tcPr>
          <w:p w14:paraId="1984BF5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2.8%</w:t>
            </w:r>
          </w:p>
        </w:tc>
        <w:tc>
          <w:tcPr>
            <w:tcW w:w="709" w:type="dxa"/>
            <w:tcBorders>
              <w:top w:val="nil"/>
              <w:left w:val="nil"/>
              <w:bottom w:val="nil"/>
              <w:right w:val="nil"/>
            </w:tcBorders>
            <w:shd w:val="clear" w:color="000000" w:fill="FFFFFF"/>
            <w:vAlign w:val="center"/>
            <w:hideMark/>
          </w:tcPr>
          <w:p w14:paraId="14ADC88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2.8%</w:t>
            </w:r>
          </w:p>
        </w:tc>
        <w:tc>
          <w:tcPr>
            <w:tcW w:w="709" w:type="dxa"/>
            <w:tcBorders>
              <w:top w:val="nil"/>
              <w:left w:val="nil"/>
              <w:bottom w:val="nil"/>
              <w:right w:val="nil"/>
            </w:tcBorders>
            <w:shd w:val="clear" w:color="000000" w:fill="FFFFFF"/>
            <w:vAlign w:val="center"/>
            <w:hideMark/>
          </w:tcPr>
          <w:p w14:paraId="69F2749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4.5%</w:t>
            </w:r>
          </w:p>
        </w:tc>
        <w:tc>
          <w:tcPr>
            <w:tcW w:w="708" w:type="dxa"/>
            <w:tcBorders>
              <w:top w:val="nil"/>
              <w:left w:val="nil"/>
              <w:bottom w:val="nil"/>
              <w:right w:val="nil"/>
            </w:tcBorders>
            <w:shd w:val="clear" w:color="000000" w:fill="FFFFFF"/>
            <w:vAlign w:val="center"/>
            <w:hideMark/>
          </w:tcPr>
          <w:p w14:paraId="156F189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3.2%</w:t>
            </w:r>
          </w:p>
        </w:tc>
        <w:tc>
          <w:tcPr>
            <w:tcW w:w="709" w:type="dxa"/>
            <w:tcBorders>
              <w:top w:val="nil"/>
              <w:left w:val="nil"/>
              <w:bottom w:val="nil"/>
              <w:right w:val="nil"/>
            </w:tcBorders>
            <w:shd w:val="clear" w:color="000000" w:fill="FFFFFF"/>
            <w:vAlign w:val="center"/>
            <w:hideMark/>
          </w:tcPr>
          <w:p w14:paraId="620E8BD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2.8%</w:t>
            </w:r>
          </w:p>
        </w:tc>
      </w:tr>
      <w:tr w:rsidR="00195EDA" w:rsidRPr="0072243E" w14:paraId="1D679C46" w14:textId="77777777" w:rsidTr="0072243E">
        <w:trPr>
          <w:trHeight w:val="270"/>
        </w:trPr>
        <w:tc>
          <w:tcPr>
            <w:tcW w:w="993" w:type="dxa"/>
            <w:vMerge/>
            <w:tcBorders>
              <w:top w:val="nil"/>
              <w:left w:val="nil"/>
              <w:bottom w:val="double" w:sz="6" w:space="0" w:color="000000"/>
              <w:right w:val="nil"/>
            </w:tcBorders>
            <w:vAlign w:val="center"/>
            <w:hideMark/>
          </w:tcPr>
          <w:p w14:paraId="0A739A21"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double" w:sz="6" w:space="0" w:color="auto"/>
              <w:right w:val="nil"/>
            </w:tcBorders>
            <w:shd w:val="clear" w:color="000000" w:fill="FFFFFF"/>
            <w:vAlign w:val="center"/>
            <w:hideMark/>
          </w:tcPr>
          <w:p w14:paraId="0FEC9585"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No especificado</w:t>
            </w:r>
          </w:p>
        </w:tc>
        <w:tc>
          <w:tcPr>
            <w:tcW w:w="709" w:type="dxa"/>
            <w:tcBorders>
              <w:top w:val="nil"/>
              <w:left w:val="nil"/>
              <w:bottom w:val="double" w:sz="6" w:space="0" w:color="auto"/>
              <w:right w:val="nil"/>
            </w:tcBorders>
            <w:shd w:val="clear" w:color="000000" w:fill="FFFFFF"/>
            <w:vAlign w:val="center"/>
            <w:hideMark/>
          </w:tcPr>
          <w:p w14:paraId="0230C54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3.5%</w:t>
            </w:r>
          </w:p>
        </w:tc>
        <w:tc>
          <w:tcPr>
            <w:tcW w:w="850" w:type="dxa"/>
            <w:tcBorders>
              <w:top w:val="nil"/>
              <w:left w:val="nil"/>
              <w:bottom w:val="double" w:sz="6" w:space="0" w:color="auto"/>
              <w:right w:val="nil"/>
            </w:tcBorders>
            <w:shd w:val="clear" w:color="000000" w:fill="FFFFFF"/>
            <w:vAlign w:val="center"/>
            <w:hideMark/>
          </w:tcPr>
          <w:p w14:paraId="240C932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1.6%</w:t>
            </w:r>
          </w:p>
        </w:tc>
        <w:tc>
          <w:tcPr>
            <w:tcW w:w="709" w:type="dxa"/>
            <w:tcBorders>
              <w:top w:val="nil"/>
              <w:left w:val="nil"/>
              <w:bottom w:val="double" w:sz="6" w:space="0" w:color="auto"/>
              <w:right w:val="nil"/>
            </w:tcBorders>
            <w:shd w:val="clear" w:color="000000" w:fill="FFFFFF"/>
            <w:vAlign w:val="center"/>
            <w:hideMark/>
          </w:tcPr>
          <w:p w14:paraId="117603A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.8%</w:t>
            </w:r>
          </w:p>
        </w:tc>
        <w:tc>
          <w:tcPr>
            <w:tcW w:w="850" w:type="dxa"/>
            <w:tcBorders>
              <w:top w:val="nil"/>
              <w:left w:val="nil"/>
              <w:bottom w:val="double" w:sz="6" w:space="0" w:color="auto"/>
              <w:right w:val="nil"/>
            </w:tcBorders>
            <w:shd w:val="clear" w:color="000000" w:fill="FFFFFF"/>
            <w:vAlign w:val="center"/>
            <w:hideMark/>
          </w:tcPr>
          <w:p w14:paraId="77770F4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3.8%</w:t>
            </w:r>
          </w:p>
        </w:tc>
        <w:tc>
          <w:tcPr>
            <w:tcW w:w="709" w:type="dxa"/>
            <w:tcBorders>
              <w:top w:val="nil"/>
              <w:left w:val="nil"/>
              <w:bottom w:val="double" w:sz="6" w:space="0" w:color="auto"/>
              <w:right w:val="nil"/>
            </w:tcBorders>
            <w:shd w:val="clear" w:color="000000" w:fill="FFFFFF"/>
            <w:vAlign w:val="center"/>
            <w:hideMark/>
          </w:tcPr>
          <w:p w14:paraId="2D913EE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2.6%</w:t>
            </w:r>
          </w:p>
        </w:tc>
        <w:tc>
          <w:tcPr>
            <w:tcW w:w="709" w:type="dxa"/>
            <w:tcBorders>
              <w:top w:val="nil"/>
              <w:left w:val="nil"/>
              <w:bottom w:val="double" w:sz="6" w:space="0" w:color="auto"/>
              <w:right w:val="nil"/>
            </w:tcBorders>
            <w:shd w:val="clear" w:color="000000" w:fill="FFFFFF"/>
            <w:vAlign w:val="center"/>
            <w:hideMark/>
          </w:tcPr>
          <w:p w14:paraId="3826FB5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1.9%</w:t>
            </w:r>
          </w:p>
        </w:tc>
        <w:tc>
          <w:tcPr>
            <w:tcW w:w="709" w:type="dxa"/>
            <w:tcBorders>
              <w:top w:val="nil"/>
              <w:left w:val="nil"/>
              <w:bottom w:val="double" w:sz="6" w:space="0" w:color="auto"/>
              <w:right w:val="nil"/>
            </w:tcBorders>
            <w:shd w:val="clear" w:color="000000" w:fill="FFFFFF"/>
            <w:vAlign w:val="center"/>
            <w:hideMark/>
          </w:tcPr>
          <w:p w14:paraId="4A85D14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2.6%</w:t>
            </w:r>
          </w:p>
        </w:tc>
        <w:tc>
          <w:tcPr>
            <w:tcW w:w="708" w:type="dxa"/>
            <w:tcBorders>
              <w:top w:val="nil"/>
              <w:left w:val="nil"/>
              <w:bottom w:val="double" w:sz="6" w:space="0" w:color="auto"/>
              <w:right w:val="nil"/>
            </w:tcBorders>
            <w:shd w:val="clear" w:color="000000" w:fill="FFFFFF"/>
            <w:vAlign w:val="center"/>
            <w:hideMark/>
          </w:tcPr>
          <w:p w14:paraId="0ABAC7B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2.1%</w:t>
            </w:r>
          </w:p>
        </w:tc>
        <w:tc>
          <w:tcPr>
            <w:tcW w:w="709" w:type="dxa"/>
            <w:tcBorders>
              <w:top w:val="nil"/>
              <w:left w:val="nil"/>
              <w:bottom w:val="double" w:sz="6" w:space="0" w:color="auto"/>
              <w:right w:val="nil"/>
            </w:tcBorders>
            <w:shd w:val="clear" w:color="000000" w:fill="FFFFFF"/>
            <w:vAlign w:val="center"/>
            <w:hideMark/>
          </w:tcPr>
          <w:p w14:paraId="3A8BB9E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1.2%</w:t>
            </w:r>
          </w:p>
        </w:tc>
      </w:tr>
      <w:tr w:rsidR="00195EDA" w:rsidRPr="0072243E" w14:paraId="564975F5" w14:textId="77777777" w:rsidTr="0072243E">
        <w:trPr>
          <w:trHeight w:val="270"/>
        </w:trPr>
        <w:tc>
          <w:tcPr>
            <w:tcW w:w="993" w:type="dxa"/>
            <w:vMerge w:val="restart"/>
            <w:tcBorders>
              <w:top w:val="nil"/>
              <w:left w:val="nil"/>
              <w:bottom w:val="double" w:sz="6" w:space="0" w:color="000000"/>
              <w:right w:val="nil"/>
            </w:tcBorders>
            <w:shd w:val="clear" w:color="000000" w:fill="FFFFFF"/>
            <w:vAlign w:val="center"/>
            <w:hideMark/>
          </w:tcPr>
          <w:p w14:paraId="2AE2FC9A"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Sector de actividad</w:t>
            </w:r>
          </w:p>
        </w:tc>
        <w:tc>
          <w:tcPr>
            <w:tcW w:w="1559" w:type="dxa"/>
            <w:tcBorders>
              <w:top w:val="nil"/>
              <w:left w:val="nil"/>
              <w:bottom w:val="nil"/>
              <w:right w:val="nil"/>
            </w:tcBorders>
            <w:shd w:val="clear" w:color="000000" w:fill="FFFFFF"/>
            <w:vAlign w:val="center"/>
            <w:hideMark/>
          </w:tcPr>
          <w:p w14:paraId="61016B3F"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Sector primario</w:t>
            </w:r>
          </w:p>
        </w:tc>
        <w:tc>
          <w:tcPr>
            <w:tcW w:w="709" w:type="dxa"/>
            <w:tcBorders>
              <w:top w:val="nil"/>
              <w:left w:val="nil"/>
              <w:bottom w:val="nil"/>
              <w:right w:val="nil"/>
            </w:tcBorders>
            <w:shd w:val="clear" w:color="000000" w:fill="FFFFFF"/>
            <w:vAlign w:val="center"/>
            <w:hideMark/>
          </w:tcPr>
          <w:p w14:paraId="0E7C3EC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21.2%</w:t>
            </w:r>
          </w:p>
        </w:tc>
        <w:tc>
          <w:tcPr>
            <w:tcW w:w="850" w:type="dxa"/>
            <w:tcBorders>
              <w:top w:val="nil"/>
              <w:left w:val="nil"/>
              <w:bottom w:val="nil"/>
              <w:right w:val="nil"/>
            </w:tcBorders>
            <w:shd w:val="clear" w:color="000000" w:fill="FFFFFF"/>
            <w:vAlign w:val="center"/>
            <w:hideMark/>
          </w:tcPr>
          <w:p w14:paraId="4F8151E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26.9%</w:t>
            </w:r>
          </w:p>
        </w:tc>
        <w:tc>
          <w:tcPr>
            <w:tcW w:w="709" w:type="dxa"/>
            <w:tcBorders>
              <w:top w:val="nil"/>
              <w:left w:val="nil"/>
              <w:bottom w:val="nil"/>
              <w:right w:val="nil"/>
            </w:tcBorders>
            <w:shd w:val="clear" w:color="000000" w:fill="FFFFFF"/>
            <w:vAlign w:val="center"/>
            <w:hideMark/>
          </w:tcPr>
          <w:p w14:paraId="2F2FDD3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19.8%</w:t>
            </w:r>
          </w:p>
        </w:tc>
        <w:tc>
          <w:tcPr>
            <w:tcW w:w="850" w:type="dxa"/>
            <w:tcBorders>
              <w:top w:val="nil"/>
              <w:left w:val="nil"/>
              <w:bottom w:val="nil"/>
              <w:right w:val="nil"/>
            </w:tcBorders>
            <w:shd w:val="clear" w:color="000000" w:fill="FFFFFF"/>
            <w:vAlign w:val="center"/>
            <w:hideMark/>
          </w:tcPr>
          <w:p w14:paraId="5A45653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6.6%</w:t>
            </w:r>
          </w:p>
        </w:tc>
        <w:tc>
          <w:tcPr>
            <w:tcW w:w="709" w:type="dxa"/>
            <w:tcBorders>
              <w:top w:val="nil"/>
              <w:left w:val="nil"/>
              <w:bottom w:val="nil"/>
              <w:right w:val="nil"/>
            </w:tcBorders>
            <w:shd w:val="clear" w:color="000000" w:fill="FFFFFF"/>
            <w:vAlign w:val="center"/>
            <w:hideMark/>
          </w:tcPr>
          <w:p w14:paraId="33489C3D"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5.8%</w:t>
            </w:r>
          </w:p>
        </w:tc>
        <w:tc>
          <w:tcPr>
            <w:tcW w:w="709" w:type="dxa"/>
            <w:tcBorders>
              <w:top w:val="nil"/>
              <w:left w:val="nil"/>
              <w:bottom w:val="nil"/>
              <w:right w:val="nil"/>
            </w:tcBorders>
            <w:shd w:val="clear" w:color="000000" w:fill="FFFFFF"/>
            <w:vAlign w:val="center"/>
            <w:hideMark/>
          </w:tcPr>
          <w:p w14:paraId="039E9EEA"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6.4%</w:t>
            </w:r>
          </w:p>
        </w:tc>
        <w:tc>
          <w:tcPr>
            <w:tcW w:w="709" w:type="dxa"/>
            <w:tcBorders>
              <w:top w:val="nil"/>
              <w:left w:val="nil"/>
              <w:bottom w:val="nil"/>
              <w:right w:val="nil"/>
            </w:tcBorders>
            <w:shd w:val="clear" w:color="000000" w:fill="FFFFFF"/>
            <w:vAlign w:val="center"/>
            <w:hideMark/>
          </w:tcPr>
          <w:p w14:paraId="774326C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16.1%</w:t>
            </w:r>
          </w:p>
        </w:tc>
        <w:tc>
          <w:tcPr>
            <w:tcW w:w="708" w:type="dxa"/>
            <w:tcBorders>
              <w:top w:val="nil"/>
              <w:left w:val="nil"/>
              <w:bottom w:val="nil"/>
              <w:right w:val="nil"/>
            </w:tcBorders>
            <w:shd w:val="clear" w:color="000000" w:fill="FFFFFF"/>
            <w:vAlign w:val="center"/>
            <w:hideMark/>
          </w:tcPr>
          <w:p w14:paraId="6634CF0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13.8%</w:t>
            </w:r>
          </w:p>
        </w:tc>
        <w:tc>
          <w:tcPr>
            <w:tcW w:w="709" w:type="dxa"/>
            <w:tcBorders>
              <w:top w:val="nil"/>
              <w:left w:val="nil"/>
              <w:bottom w:val="nil"/>
              <w:right w:val="nil"/>
            </w:tcBorders>
            <w:shd w:val="clear" w:color="000000" w:fill="FFFFFF"/>
            <w:vAlign w:val="center"/>
            <w:hideMark/>
          </w:tcPr>
          <w:p w14:paraId="12F82FA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10.9%</w:t>
            </w:r>
          </w:p>
        </w:tc>
      </w:tr>
      <w:tr w:rsidR="00195EDA" w:rsidRPr="0072243E" w14:paraId="3F60BF61" w14:textId="77777777" w:rsidTr="0072243E">
        <w:trPr>
          <w:trHeight w:val="270"/>
        </w:trPr>
        <w:tc>
          <w:tcPr>
            <w:tcW w:w="993" w:type="dxa"/>
            <w:vMerge/>
            <w:tcBorders>
              <w:top w:val="nil"/>
              <w:left w:val="nil"/>
              <w:bottom w:val="double" w:sz="6" w:space="0" w:color="000000"/>
              <w:right w:val="nil"/>
            </w:tcBorders>
            <w:vAlign w:val="center"/>
            <w:hideMark/>
          </w:tcPr>
          <w:p w14:paraId="5B3F12BE"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1DBEDB97"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Sector secundario</w:t>
            </w:r>
          </w:p>
        </w:tc>
        <w:tc>
          <w:tcPr>
            <w:tcW w:w="709" w:type="dxa"/>
            <w:tcBorders>
              <w:top w:val="nil"/>
              <w:left w:val="nil"/>
              <w:bottom w:val="nil"/>
              <w:right w:val="nil"/>
            </w:tcBorders>
            <w:shd w:val="clear" w:color="000000" w:fill="FFFFFF"/>
            <w:vAlign w:val="center"/>
            <w:hideMark/>
          </w:tcPr>
          <w:p w14:paraId="3DFAFE2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39.8%</w:t>
            </w:r>
          </w:p>
        </w:tc>
        <w:tc>
          <w:tcPr>
            <w:tcW w:w="850" w:type="dxa"/>
            <w:tcBorders>
              <w:top w:val="nil"/>
              <w:left w:val="nil"/>
              <w:bottom w:val="nil"/>
              <w:right w:val="nil"/>
            </w:tcBorders>
            <w:shd w:val="clear" w:color="000000" w:fill="FFFFFF"/>
            <w:vAlign w:val="center"/>
            <w:hideMark/>
          </w:tcPr>
          <w:p w14:paraId="60F51740"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29.5%</w:t>
            </w:r>
          </w:p>
        </w:tc>
        <w:tc>
          <w:tcPr>
            <w:tcW w:w="709" w:type="dxa"/>
            <w:tcBorders>
              <w:top w:val="nil"/>
              <w:left w:val="nil"/>
              <w:bottom w:val="nil"/>
              <w:right w:val="nil"/>
            </w:tcBorders>
            <w:shd w:val="clear" w:color="000000" w:fill="FFFFFF"/>
            <w:vAlign w:val="center"/>
            <w:hideMark/>
          </w:tcPr>
          <w:p w14:paraId="3589E07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33.2%</w:t>
            </w:r>
          </w:p>
        </w:tc>
        <w:tc>
          <w:tcPr>
            <w:tcW w:w="850" w:type="dxa"/>
            <w:tcBorders>
              <w:top w:val="nil"/>
              <w:left w:val="nil"/>
              <w:bottom w:val="nil"/>
              <w:right w:val="nil"/>
            </w:tcBorders>
            <w:shd w:val="clear" w:color="000000" w:fill="FFFFFF"/>
            <w:vAlign w:val="center"/>
            <w:hideMark/>
          </w:tcPr>
          <w:p w14:paraId="05753CD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25.4%</w:t>
            </w:r>
          </w:p>
        </w:tc>
        <w:tc>
          <w:tcPr>
            <w:tcW w:w="709" w:type="dxa"/>
            <w:tcBorders>
              <w:top w:val="nil"/>
              <w:left w:val="nil"/>
              <w:bottom w:val="nil"/>
              <w:right w:val="nil"/>
            </w:tcBorders>
            <w:shd w:val="clear" w:color="000000" w:fill="FFFFFF"/>
            <w:vAlign w:val="center"/>
            <w:hideMark/>
          </w:tcPr>
          <w:p w14:paraId="7DAC4830"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17.7%</w:t>
            </w:r>
          </w:p>
        </w:tc>
        <w:tc>
          <w:tcPr>
            <w:tcW w:w="709" w:type="dxa"/>
            <w:tcBorders>
              <w:top w:val="nil"/>
              <w:left w:val="nil"/>
              <w:bottom w:val="nil"/>
              <w:right w:val="nil"/>
            </w:tcBorders>
            <w:shd w:val="clear" w:color="000000" w:fill="FFFFFF"/>
            <w:vAlign w:val="center"/>
            <w:hideMark/>
          </w:tcPr>
          <w:p w14:paraId="555A673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20.0%</w:t>
            </w:r>
          </w:p>
        </w:tc>
        <w:tc>
          <w:tcPr>
            <w:tcW w:w="709" w:type="dxa"/>
            <w:tcBorders>
              <w:top w:val="nil"/>
              <w:left w:val="nil"/>
              <w:bottom w:val="nil"/>
              <w:right w:val="nil"/>
            </w:tcBorders>
            <w:shd w:val="clear" w:color="000000" w:fill="FFFFFF"/>
            <w:vAlign w:val="center"/>
            <w:hideMark/>
          </w:tcPr>
          <w:p w14:paraId="083602D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32.8%</w:t>
            </w:r>
          </w:p>
        </w:tc>
        <w:tc>
          <w:tcPr>
            <w:tcW w:w="708" w:type="dxa"/>
            <w:tcBorders>
              <w:top w:val="nil"/>
              <w:left w:val="nil"/>
              <w:bottom w:val="nil"/>
              <w:right w:val="nil"/>
            </w:tcBorders>
            <w:shd w:val="clear" w:color="000000" w:fill="FFFFFF"/>
            <w:vAlign w:val="center"/>
            <w:hideMark/>
          </w:tcPr>
          <w:p w14:paraId="1B17E0DA"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21.5%</w:t>
            </w:r>
          </w:p>
        </w:tc>
        <w:tc>
          <w:tcPr>
            <w:tcW w:w="709" w:type="dxa"/>
            <w:tcBorders>
              <w:top w:val="nil"/>
              <w:left w:val="nil"/>
              <w:bottom w:val="nil"/>
              <w:right w:val="nil"/>
            </w:tcBorders>
            <w:shd w:val="clear" w:color="000000" w:fill="FFFFFF"/>
            <w:vAlign w:val="center"/>
            <w:hideMark/>
          </w:tcPr>
          <w:p w14:paraId="7E19D080"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26.2%</w:t>
            </w:r>
          </w:p>
        </w:tc>
      </w:tr>
      <w:tr w:rsidR="00195EDA" w:rsidRPr="0072243E" w14:paraId="7EE1AD2B" w14:textId="77777777" w:rsidTr="0072243E">
        <w:trPr>
          <w:trHeight w:val="270"/>
        </w:trPr>
        <w:tc>
          <w:tcPr>
            <w:tcW w:w="993" w:type="dxa"/>
            <w:vMerge/>
            <w:tcBorders>
              <w:top w:val="nil"/>
              <w:left w:val="nil"/>
              <w:bottom w:val="double" w:sz="6" w:space="0" w:color="000000"/>
              <w:right w:val="nil"/>
            </w:tcBorders>
            <w:vAlign w:val="center"/>
            <w:hideMark/>
          </w:tcPr>
          <w:p w14:paraId="7D9AAFE5"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325AE538"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Sector terciario inferior</w:t>
            </w:r>
          </w:p>
        </w:tc>
        <w:tc>
          <w:tcPr>
            <w:tcW w:w="709" w:type="dxa"/>
            <w:tcBorders>
              <w:top w:val="nil"/>
              <w:left w:val="nil"/>
              <w:bottom w:val="nil"/>
              <w:right w:val="nil"/>
            </w:tcBorders>
            <w:shd w:val="clear" w:color="000000" w:fill="FFFFFF"/>
            <w:vAlign w:val="center"/>
            <w:hideMark/>
          </w:tcPr>
          <w:p w14:paraId="6418671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23.2%</w:t>
            </w:r>
          </w:p>
        </w:tc>
        <w:tc>
          <w:tcPr>
            <w:tcW w:w="850" w:type="dxa"/>
            <w:tcBorders>
              <w:top w:val="nil"/>
              <w:left w:val="nil"/>
              <w:bottom w:val="nil"/>
              <w:right w:val="nil"/>
            </w:tcBorders>
            <w:shd w:val="clear" w:color="000000" w:fill="FFFFFF"/>
            <w:vAlign w:val="center"/>
            <w:hideMark/>
          </w:tcPr>
          <w:p w14:paraId="1737BDB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29.7%</w:t>
            </w:r>
          </w:p>
        </w:tc>
        <w:tc>
          <w:tcPr>
            <w:tcW w:w="709" w:type="dxa"/>
            <w:tcBorders>
              <w:top w:val="nil"/>
              <w:left w:val="nil"/>
              <w:bottom w:val="nil"/>
              <w:right w:val="nil"/>
            </w:tcBorders>
            <w:shd w:val="clear" w:color="000000" w:fill="FFFFFF"/>
            <w:vAlign w:val="center"/>
            <w:hideMark/>
          </w:tcPr>
          <w:p w14:paraId="5075DF9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34.7%</w:t>
            </w:r>
          </w:p>
        </w:tc>
        <w:tc>
          <w:tcPr>
            <w:tcW w:w="850" w:type="dxa"/>
            <w:tcBorders>
              <w:top w:val="nil"/>
              <w:left w:val="nil"/>
              <w:bottom w:val="nil"/>
              <w:right w:val="nil"/>
            </w:tcBorders>
            <w:shd w:val="clear" w:color="000000" w:fill="FFFFFF"/>
            <w:vAlign w:val="center"/>
            <w:hideMark/>
          </w:tcPr>
          <w:p w14:paraId="550F499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25.6%</w:t>
            </w:r>
          </w:p>
        </w:tc>
        <w:tc>
          <w:tcPr>
            <w:tcW w:w="709" w:type="dxa"/>
            <w:tcBorders>
              <w:top w:val="nil"/>
              <w:left w:val="nil"/>
              <w:bottom w:val="nil"/>
              <w:right w:val="nil"/>
            </w:tcBorders>
            <w:shd w:val="clear" w:color="000000" w:fill="FFFFFF"/>
            <w:vAlign w:val="center"/>
            <w:hideMark/>
          </w:tcPr>
          <w:p w14:paraId="4688213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34.3%</w:t>
            </w:r>
          </w:p>
        </w:tc>
        <w:tc>
          <w:tcPr>
            <w:tcW w:w="709" w:type="dxa"/>
            <w:tcBorders>
              <w:top w:val="nil"/>
              <w:left w:val="nil"/>
              <w:bottom w:val="nil"/>
              <w:right w:val="nil"/>
            </w:tcBorders>
            <w:shd w:val="clear" w:color="000000" w:fill="FFFFFF"/>
            <w:vAlign w:val="center"/>
            <w:hideMark/>
          </w:tcPr>
          <w:p w14:paraId="6F6F2D9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41.1%</w:t>
            </w:r>
          </w:p>
        </w:tc>
        <w:tc>
          <w:tcPr>
            <w:tcW w:w="709" w:type="dxa"/>
            <w:tcBorders>
              <w:top w:val="nil"/>
              <w:left w:val="nil"/>
              <w:bottom w:val="nil"/>
              <w:right w:val="nil"/>
            </w:tcBorders>
            <w:shd w:val="clear" w:color="000000" w:fill="FFFFFF"/>
            <w:vAlign w:val="center"/>
            <w:hideMark/>
          </w:tcPr>
          <w:p w14:paraId="1736032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26.4%</w:t>
            </w:r>
          </w:p>
        </w:tc>
        <w:tc>
          <w:tcPr>
            <w:tcW w:w="708" w:type="dxa"/>
            <w:tcBorders>
              <w:top w:val="nil"/>
              <w:left w:val="nil"/>
              <w:bottom w:val="nil"/>
              <w:right w:val="nil"/>
            </w:tcBorders>
            <w:shd w:val="clear" w:color="000000" w:fill="FFFFFF"/>
            <w:vAlign w:val="center"/>
            <w:hideMark/>
          </w:tcPr>
          <w:p w14:paraId="0E23D9A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35.4%</w:t>
            </w:r>
          </w:p>
        </w:tc>
        <w:tc>
          <w:tcPr>
            <w:tcW w:w="709" w:type="dxa"/>
            <w:tcBorders>
              <w:top w:val="nil"/>
              <w:left w:val="nil"/>
              <w:bottom w:val="nil"/>
              <w:right w:val="nil"/>
            </w:tcBorders>
            <w:shd w:val="clear" w:color="000000" w:fill="FFFFFF"/>
            <w:vAlign w:val="center"/>
            <w:hideMark/>
          </w:tcPr>
          <w:p w14:paraId="106146B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41.2%</w:t>
            </w:r>
          </w:p>
        </w:tc>
      </w:tr>
      <w:tr w:rsidR="00195EDA" w:rsidRPr="0072243E" w14:paraId="3481E6E0" w14:textId="77777777" w:rsidTr="0072243E">
        <w:trPr>
          <w:trHeight w:val="270"/>
        </w:trPr>
        <w:tc>
          <w:tcPr>
            <w:tcW w:w="993" w:type="dxa"/>
            <w:vMerge/>
            <w:tcBorders>
              <w:top w:val="nil"/>
              <w:left w:val="nil"/>
              <w:bottom w:val="double" w:sz="6" w:space="0" w:color="000000"/>
              <w:right w:val="nil"/>
            </w:tcBorders>
            <w:vAlign w:val="center"/>
            <w:hideMark/>
          </w:tcPr>
          <w:p w14:paraId="32BD45A8"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double" w:sz="6" w:space="0" w:color="auto"/>
              <w:right w:val="nil"/>
            </w:tcBorders>
            <w:shd w:val="clear" w:color="000000" w:fill="FFFFFF"/>
            <w:vAlign w:val="center"/>
            <w:hideMark/>
          </w:tcPr>
          <w:p w14:paraId="2225FB66"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Sector terciario superior</w:t>
            </w:r>
          </w:p>
        </w:tc>
        <w:tc>
          <w:tcPr>
            <w:tcW w:w="709" w:type="dxa"/>
            <w:tcBorders>
              <w:top w:val="nil"/>
              <w:left w:val="nil"/>
              <w:bottom w:val="double" w:sz="6" w:space="0" w:color="auto"/>
              <w:right w:val="nil"/>
            </w:tcBorders>
            <w:shd w:val="clear" w:color="000000" w:fill="FFFFFF"/>
            <w:vAlign w:val="center"/>
            <w:hideMark/>
          </w:tcPr>
          <w:p w14:paraId="262A48D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15.8%</w:t>
            </w:r>
          </w:p>
        </w:tc>
        <w:tc>
          <w:tcPr>
            <w:tcW w:w="850" w:type="dxa"/>
            <w:tcBorders>
              <w:top w:val="nil"/>
              <w:left w:val="nil"/>
              <w:bottom w:val="double" w:sz="6" w:space="0" w:color="auto"/>
              <w:right w:val="nil"/>
            </w:tcBorders>
            <w:shd w:val="clear" w:color="000000" w:fill="FFFFFF"/>
            <w:vAlign w:val="center"/>
            <w:hideMark/>
          </w:tcPr>
          <w:p w14:paraId="3F38BF8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13.9%</w:t>
            </w:r>
          </w:p>
        </w:tc>
        <w:tc>
          <w:tcPr>
            <w:tcW w:w="709" w:type="dxa"/>
            <w:tcBorders>
              <w:top w:val="nil"/>
              <w:left w:val="nil"/>
              <w:bottom w:val="double" w:sz="6" w:space="0" w:color="auto"/>
              <w:right w:val="nil"/>
            </w:tcBorders>
            <w:shd w:val="clear" w:color="000000" w:fill="FFFFFF"/>
            <w:vAlign w:val="center"/>
            <w:hideMark/>
          </w:tcPr>
          <w:p w14:paraId="7F17DDE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12.2%</w:t>
            </w:r>
          </w:p>
        </w:tc>
        <w:tc>
          <w:tcPr>
            <w:tcW w:w="850" w:type="dxa"/>
            <w:tcBorders>
              <w:top w:val="nil"/>
              <w:left w:val="nil"/>
              <w:bottom w:val="double" w:sz="6" w:space="0" w:color="auto"/>
              <w:right w:val="nil"/>
            </w:tcBorders>
            <w:shd w:val="clear" w:color="000000" w:fill="FFFFFF"/>
            <w:vAlign w:val="center"/>
            <w:hideMark/>
          </w:tcPr>
          <w:p w14:paraId="51A8D48A"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42.4%</w:t>
            </w:r>
          </w:p>
        </w:tc>
        <w:tc>
          <w:tcPr>
            <w:tcW w:w="709" w:type="dxa"/>
            <w:tcBorders>
              <w:top w:val="nil"/>
              <w:left w:val="nil"/>
              <w:bottom w:val="double" w:sz="6" w:space="0" w:color="auto"/>
              <w:right w:val="nil"/>
            </w:tcBorders>
            <w:shd w:val="clear" w:color="000000" w:fill="FFFFFF"/>
            <w:vAlign w:val="center"/>
            <w:hideMark/>
          </w:tcPr>
          <w:p w14:paraId="54EE821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42.2%</w:t>
            </w:r>
          </w:p>
        </w:tc>
        <w:tc>
          <w:tcPr>
            <w:tcW w:w="709" w:type="dxa"/>
            <w:tcBorders>
              <w:top w:val="nil"/>
              <w:left w:val="nil"/>
              <w:bottom w:val="double" w:sz="6" w:space="0" w:color="auto"/>
              <w:right w:val="nil"/>
            </w:tcBorders>
            <w:shd w:val="clear" w:color="000000" w:fill="FFFFFF"/>
            <w:vAlign w:val="center"/>
            <w:hideMark/>
          </w:tcPr>
          <w:p w14:paraId="5D01323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32.5%</w:t>
            </w:r>
          </w:p>
        </w:tc>
        <w:tc>
          <w:tcPr>
            <w:tcW w:w="709" w:type="dxa"/>
            <w:tcBorders>
              <w:top w:val="nil"/>
              <w:left w:val="nil"/>
              <w:bottom w:val="double" w:sz="6" w:space="0" w:color="auto"/>
              <w:right w:val="nil"/>
            </w:tcBorders>
            <w:shd w:val="clear" w:color="000000" w:fill="FFFFFF"/>
            <w:vAlign w:val="center"/>
            <w:hideMark/>
          </w:tcPr>
          <w:p w14:paraId="11EFAED0"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24.7%</w:t>
            </w:r>
          </w:p>
        </w:tc>
        <w:tc>
          <w:tcPr>
            <w:tcW w:w="708" w:type="dxa"/>
            <w:tcBorders>
              <w:top w:val="nil"/>
              <w:left w:val="nil"/>
              <w:bottom w:val="double" w:sz="6" w:space="0" w:color="auto"/>
              <w:right w:val="nil"/>
            </w:tcBorders>
            <w:shd w:val="clear" w:color="000000" w:fill="FFFFFF"/>
            <w:vAlign w:val="center"/>
            <w:hideMark/>
          </w:tcPr>
          <w:p w14:paraId="331224B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29.2%</w:t>
            </w:r>
          </w:p>
        </w:tc>
        <w:tc>
          <w:tcPr>
            <w:tcW w:w="709" w:type="dxa"/>
            <w:tcBorders>
              <w:top w:val="nil"/>
              <w:left w:val="nil"/>
              <w:bottom w:val="double" w:sz="6" w:space="0" w:color="auto"/>
              <w:right w:val="nil"/>
            </w:tcBorders>
            <w:shd w:val="clear" w:color="000000" w:fill="FFFFFF"/>
            <w:vAlign w:val="center"/>
            <w:hideMark/>
          </w:tcPr>
          <w:p w14:paraId="5A16B74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21.7%</w:t>
            </w:r>
          </w:p>
        </w:tc>
      </w:tr>
      <w:tr w:rsidR="00195EDA" w:rsidRPr="0072243E" w14:paraId="3F986CC9" w14:textId="77777777" w:rsidTr="0072243E">
        <w:trPr>
          <w:trHeight w:val="270"/>
        </w:trPr>
        <w:tc>
          <w:tcPr>
            <w:tcW w:w="993" w:type="dxa"/>
            <w:vMerge w:val="restart"/>
            <w:tcBorders>
              <w:top w:val="nil"/>
              <w:left w:val="nil"/>
              <w:bottom w:val="double" w:sz="6" w:space="0" w:color="000000"/>
              <w:right w:val="nil"/>
            </w:tcBorders>
            <w:shd w:val="clear" w:color="000000" w:fill="FFFFFF"/>
            <w:vAlign w:val="center"/>
            <w:hideMark/>
          </w:tcPr>
          <w:p w14:paraId="7682EF2C" w14:textId="77777777" w:rsidR="00195EDA" w:rsidRPr="0072243E" w:rsidRDefault="00195EDA" w:rsidP="00195EDA">
            <w:pPr>
              <w:spacing w:after="0" w:line="240" w:lineRule="auto"/>
              <w:jc w:val="center"/>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Tamaño de localidad</w:t>
            </w:r>
          </w:p>
        </w:tc>
        <w:tc>
          <w:tcPr>
            <w:tcW w:w="1559" w:type="dxa"/>
            <w:tcBorders>
              <w:top w:val="nil"/>
              <w:left w:val="nil"/>
              <w:bottom w:val="nil"/>
              <w:right w:val="nil"/>
            </w:tcBorders>
            <w:shd w:val="clear" w:color="000000" w:fill="FFFFFF"/>
            <w:vAlign w:val="center"/>
            <w:hideMark/>
          </w:tcPr>
          <w:p w14:paraId="181E55FC"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&lt;2,500 Habitantes</w:t>
            </w:r>
          </w:p>
        </w:tc>
        <w:tc>
          <w:tcPr>
            <w:tcW w:w="709" w:type="dxa"/>
            <w:tcBorders>
              <w:top w:val="nil"/>
              <w:left w:val="nil"/>
              <w:bottom w:val="nil"/>
              <w:right w:val="nil"/>
            </w:tcBorders>
            <w:shd w:val="clear" w:color="000000" w:fill="FFFFFF"/>
            <w:vAlign w:val="center"/>
            <w:hideMark/>
          </w:tcPr>
          <w:p w14:paraId="5ED566B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28.4%</w:t>
            </w:r>
          </w:p>
        </w:tc>
        <w:tc>
          <w:tcPr>
            <w:tcW w:w="850" w:type="dxa"/>
            <w:tcBorders>
              <w:top w:val="nil"/>
              <w:left w:val="nil"/>
              <w:bottom w:val="nil"/>
              <w:right w:val="nil"/>
            </w:tcBorders>
            <w:shd w:val="clear" w:color="000000" w:fill="FFFFFF"/>
            <w:vAlign w:val="center"/>
            <w:hideMark/>
          </w:tcPr>
          <w:p w14:paraId="3BD2168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34.7%</w:t>
            </w:r>
          </w:p>
        </w:tc>
        <w:tc>
          <w:tcPr>
            <w:tcW w:w="709" w:type="dxa"/>
            <w:tcBorders>
              <w:top w:val="nil"/>
              <w:left w:val="nil"/>
              <w:bottom w:val="nil"/>
              <w:right w:val="nil"/>
            </w:tcBorders>
            <w:shd w:val="clear" w:color="000000" w:fill="FFFFFF"/>
            <w:vAlign w:val="center"/>
            <w:hideMark/>
          </w:tcPr>
          <w:p w14:paraId="05B62A2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30.8%</w:t>
            </w:r>
          </w:p>
        </w:tc>
        <w:tc>
          <w:tcPr>
            <w:tcW w:w="850" w:type="dxa"/>
            <w:tcBorders>
              <w:top w:val="nil"/>
              <w:left w:val="nil"/>
              <w:bottom w:val="nil"/>
              <w:right w:val="nil"/>
            </w:tcBorders>
            <w:shd w:val="clear" w:color="000000" w:fill="FFFFFF"/>
            <w:vAlign w:val="center"/>
            <w:hideMark/>
          </w:tcPr>
          <w:p w14:paraId="387C0B7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19.0%</w:t>
            </w:r>
          </w:p>
        </w:tc>
        <w:tc>
          <w:tcPr>
            <w:tcW w:w="709" w:type="dxa"/>
            <w:tcBorders>
              <w:top w:val="nil"/>
              <w:left w:val="nil"/>
              <w:bottom w:val="nil"/>
              <w:right w:val="nil"/>
            </w:tcBorders>
            <w:shd w:val="clear" w:color="000000" w:fill="FFFFFF"/>
            <w:vAlign w:val="center"/>
            <w:hideMark/>
          </w:tcPr>
          <w:p w14:paraId="09D079E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21.3%</w:t>
            </w:r>
          </w:p>
        </w:tc>
        <w:tc>
          <w:tcPr>
            <w:tcW w:w="709" w:type="dxa"/>
            <w:tcBorders>
              <w:top w:val="nil"/>
              <w:left w:val="nil"/>
              <w:bottom w:val="nil"/>
              <w:right w:val="nil"/>
            </w:tcBorders>
            <w:shd w:val="clear" w:color="000000" w:fill="FFFFFF"/>
            <w:vAlign w:val="center"/>
            <w:hideMark/>
          </w:tcPr>
          <w:p w14:paraId="1DE2143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20.2%</w:t>
            </w:r>
          </w:p>
        </w:tc>
        <w:tc>
          <w:tcPr>
            <w:tcW w:w="709" w:type="dxa"/>
            <w:tcBorders>
              <w:top w:val="nil"/>
              <w:left w:val="nil"/>
              <w:bottom w:val="nil"/>
              <w:right w:val="nil"/>
            </w:tcBorders>
            <w:shd w:val="clear" w:color="000000" w:fill="FFFFFF"/>
            <w:vAlign w:val="center"/>
            <w:hideMark/>
          </w:tcPr>
          <w:p w14:paraId="052E9F1C"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24.9%</w:t>
            </w:r>
          </w:p>
        </w:tc>
        <w:tc>
          <w:tcPr>
            <w:tcW w:w="708" w:type="dxa"/>
            <w:tcBorders>
              <w:top w:val="nil"/>
              <w:left w:val="nil"/>
              <w:bottom w:val="nil"/>
              <w:right w:val="nil"/>
            </w:tcBorders>
            <w:shd w:val="clear" w:color="000000" w:fill="FFFFFF"/>
            <w:vAlign w:val="center"/>
            <w:hideMark/>
          </w:tcPr>
          <w:p w14:paraId="689AA4D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23.2%</w:t>
            </w:r>
          </w:p>
        </w:tc>
        <w:tc>
          <w:tcPr>
            <w:tcW w:w="709" w:type="dxa"/>
            <w:tcBorders>
              <w:top w:val="nil"/>
              <w:left w:val="nil"/>
              <w:bottom w:val="nil"/>
              <w:right w:val="nil"/>
            </w:tcBorders>
            <w:shd w:val="clear" w:color="000000" w:fill="FFFFFF"/>
            <w:vAlign w:val="center"/>
            <w:hideMark/>
          </w:tcPr>
          <w:p w14:paraId="0FB2209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22.6%</w:t>
            </w:r>
          </w:p>
        </w:tc>
      </w:tr>
      <w:tr w:rsidR="00195EDA" w:rsidRPr="0072243E" w14:paraId="551C8598" w14:textId="77777777" w:rsidTr="0072243E">
        <w:trPr>
          <w:trHeight w:val="270"/>
        </w:trPr>
        <w:tc>
          <w:tcPr>
            <w:tcW w:w="993" w:type="dxa"/>
            <w:vMerge/>
            <w:tcBorders>
              <w:top w:val="nil"/>
              <w:left w:val="nil"/>
              <w:bottom w:val="double" w:sz="6" w:space="0" w:color="000000"/>
              <w:right w:val="nil"/>
            </w:tcBorders>
            <w:vAlign w:val="center"/>
            <w:hideMark/>
          </w:tcPr>
          <w:p w14:paraId="55923C80"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6627E067"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2,500 a 14,999 habitantes</w:t>
            </w:r>
          </w:p>
        </w:tc>
        <w:tc>
          <w:tcPr>
            <w:tcW w:w="709" w:type="dxa"/>
            <w:tcBorders>
              <w:top w:val="nil"/>
              <w:left w:val="nil"/>
              <w:bottom w:val="nil"/>
              <w:right w:val="nil"/>
            </w:tcBorders>
            <w:shd w:val="clear" w:color="000000" w:fill="FFFFFF"/>
            <w:vAlign w:val="center"/>
            <w:hideMark/>
          </w:tcPr>
          <w:p w14:paraId="22D8AA7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17.3%</w:t>
            </w:r>
          </w:p>
        </w:tc>
        <w:tc>
          <w:tcPr>
            <w:tcW w:w="850" w:type="dxa"/>
            <w:tcBorders>
              <w:top w:val="nil"/>
              <w:left w:val="nil"/>
              <w:bottom w:val="nil"/>
              <w:right w:val="nil"/>
            </w:tcBorders>
            <w:shd w:val="clear" w:color="000000" w:fill="FFFFFF"/>
            <w:vAlign w:val="center"/>
            <w:hideMark/>
          </w:tcPr>
          <w:p w14:paraId="6D10189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18.4%</w:t>
            </w:r>
          </w:p>
        </w:tc>
        <w:tc>
          <w:tcPr>
            <w:tcW w:w="709" w:type="dxa"/>
            <w:tcBorders>
              <w:top w:val="nil"/>
              <w:left w:val="nil"/>
              <w:bottom w:val="nil"/>
              <w:right w:val="nil"/>
            </w:tcBorders>
            <w:shd w:val="clear" w:color="000000" w:fill="FFFFFF"/>
            <w:vAlign w:val="center"/>
            <w:hideMark/>
          </w:tcPr>
          <w:p w14:paraId="1D8BC9F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17.5%</w:t>
            </w:r>
          </w:p>
        </w:tc>
        <w:tc>
          <w:tcPr>
            <w:tcW w:w="850" w:type="dxa"/>
            <w:tcBorders>
              <w:top w:val="nil"/>
              <w:left w:val="nil"/>
              <w:bottom w:val="nil"/>
              <w:right w:val="nil"/>
            </w:tcBorders>
            <w:shd w:val="clear" w:color="000000" w:fill="FFFFFF"/>
            <w:vAlign w:val="center"/>
            <w:hideMark/>
          </w:tcPr>
          <w:p w14:paraId="16CF1D3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11.9%</w:t>
            </w:r>
          </w:p>
        </w:tc>
        <w:tc>
          <w:tcPr>
            <w:tcW w:w="709" w:type="dxa"/>
            <w:tcBorders>
              <w:top w:val="nil"/>
              <w:left w:val="nil"/>
              <w:bottom w:val="nil"/>
              <w:right w:val="nil"/>
            </w:tcBorders>
            <w:shd w:val="clear" w:color="000000" w:fill="FFFFFF"/>
            <w:vAlign w:val="center"/>
            <w:hideMark/>
          </w:tcPr>
          <w:p w14:paraId="22A0615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12.6%</w:t>
            </w:r>
          </w:p>
        </w:tc>
        <w:tc>
          <w:tcPr>
            <w:tcW w:w="709" w:type="dxa"/>
            <w:tcBorders>
              <w:top w:val="nil"/>
              <w:left w:val="nil"/>
              <w:bottom w:val="nil"/>
              <w:right w:val="nil"/>
            </w:tcBorders>
            <w:shd w:val="clear" w:color="000000" w:fill="FFFFFF"/>
            <w:vAlign w:val="center"/>
            <w:hideMark/>
          </w:tcPr>
          <w:p w14:paraId="7DC3B77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13.5%</w:t>
            </w:r>
          </w:p>
        </w:tc>
        <w:tc>
          <w:tcPr>
            <w:tcW w:w="709" w:type="dxa"/>
            <w:tcBorders>
              <w:top w:val="nil"/>
              <w:left w:val="nil"/>
              <w:bottom w:val="nil"/>
              <w:right w:val="nil"/>
            </w:tcBorders>
            <w:shd w:val="clear" w:color="000000" w:fill="FFFFFF"/>
            <w:vAlign w:val="center"/>
            <w:hideMark/>
          </w:tcPr>
          <w:p w14:paraId="5863825D"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13.6%</w:t>
            </w:r>
          </w:p>
        </w:tc>
        <w:tc>
          <w:tcPr>
            <w:tcW w:w="708" w:type="dxa"/>
            <w:tcBorders>
              <w:top w:val="nil"/>
              <w:left w:val="nil"/>
              <w:bottom w:val="nil"/>
              <w:right w:val="nil"/>
            </w:tcBorders>
            <w:shd w:val="clear" w:color="000000" w:fill="FFFFFF"/>
            <w:vAlign w:val="center"/>
            <w:hideMark/>
          </w:tcPr>
          <w:p w14:paraId="7C8D141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14.1%</w:t>
            </w:r>
          </w:p>
        </w:tc>
        <w:tc>
          <w:tcPr>
            <w:tcW w:w="709" w:type="dxa"/>
            <w:tcBorders>
              <w:top w:val="nil"/>
              <w:left w:val="nil"/>
              <w:bottom w:val="nil"/>
              <w:right w:val="nil"/>
            </w:tcBorders>
            <w:shd w:val="clear" w:color="000000" w:fill="FFFFFF"/>
            <w:vAlign w:val="center"/>
            <w:hideMark/>
          </w:tcPr>
          <w:p w14:paraId="4B49465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14.8%</w:t>
            </w:r>
          </w:p>
        </w:tc>
      </w:tr>
      <w:tr w:rsidR="00195EDA" w:rsidRPr="0072243E" w14:paraId="654ED078" w14:textId="77777777" w:rsidTr="0072243E">
        <w:trPr>
          <w:trHeight w:val="270"/>
        </w:trPr>
        <w:tc>
          <w:tcPr>
            <w:tcW w:w="993" w:type="dxa"/>
            <w:vMerge/>
            <w:tcBorders>
              <w:top w:val="nil"/>
              <w:left w:val="nil"/>
              <w:bottom w:val="double" w:sz="6" w:space="0" w:color="000000"/>
              <w:right w:val="nil"/>
            </w:tcBorders>
            <w:vAlign w:val="center"/>
            <w:hideMark/>
          </w:tcPr>
          <w:p w14:paraId="423DFA13"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nil"/>
              <w:right w:val="nil"/>
            </w:tcBorders>
            <w:shd w:val="clear" w:color="000000" w:fill="FFFFFF"/>
            <w:vAlign w:val="center"/>
            <w:hideMark/>
          </w:tcPr>
          <w:p w14:paraId="5EAF8D48"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15,000 a 99,999 habitantes</w:t>
            </w:r>
          </w:p>
        </w:tc>
        <w:tc>
          <w:tcPr>
            <w:tcW w:w="709" w:type="dxa"/>
            <w:tcBorders>
              <w:top w:val="nil"/>
              <w:left w:val="nil"/>
              <w:bottom w:val="nil"/>
              <w:right w:val="nil"/>
            </w:tcBorders>
            <w:shd w:val="clear" w:color="000000" w:fill="FFFFFF"/>
            <w:vAlign w:val="center"/>
            <w:hideMark/>
          </w:tcPr>
          <w:p w14:paraId="0FCBEFF5"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16.2%</w:t>
            </w:r>
          </w:p>
        </w:tc>
        <w:tc>
          <w:tcPr>
            <w:tcW w:w="850" w:type="dxa"/>
            <w:tcBorders>
              <w:top w:val="nil"/>
              <w:left w:val="nil"/>
              <w:bottom w:val="nil"/>
              <w:right w:val="nil"/>
            </w:tcBorders>
            <w:shd w:val="clear" w:color="000000" w:fill="FFFFFF"/>
            <w:vAlign w:val="center"/>
            <w:hideMark/>
          </w:tcPr>
          <w:p w14:paraId="1DC1339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15.7%</w:t>
            </w:r>
          </w:p>
        </w:tc>
        <w:tc>
          <w:tcPr>
            <w:tcW w:w="709" w:type="dxa"/>
            <w:tcBorders>
              <w:top w:val="nil"/>
              <w:left w:val="nil"/>
              <w:bottom w:val="nil"/>
              <w:right w:val="nil"/>
            </w:tcBorders>
            <w:shd w:val="clear" w:color="000000" w:fill="FFFFFF"/>
            <w:vAlign w:val="center"/>
            <w:hideMark/>
          </w:tcPr>
          <w:p w14:paraId="17E4FA6E"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16.0%</w:t>
            </w:r>
          </w:p>
        </w:tc>
        <w:tc>
          <w:tcPr>
            <w:tcW w:w="850" w:type="dxa"/>
            <w:tcBorders>
              <w:top w:val="nil"/>
              <w:left w:val="nil"/>
              <w:bottom w:val="nil"/>
              <w:right w:val="nil"/>
            </w:tcBorders>
            <w:shd w:val="clear" w:color="000000" w:fill="FFFFFF"/>
            <w:vAlign w:val="center"/>
            <w:hideMark/>
          </w:tcPr>
          <w:p w14:paraId="466807E1"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13.2%</w:t>
            </w:r>
          </w:p>
        </w:tc>
        <w:tc>
          <w:tcPr>
            <w:tcW w:w="709" w:type="dxa"/>
            <w:tcBorders>
              <w:top w:val="nil"/>
              <w:left w:val="nil"/>
              <w:bottom w:val="nil"/>
              <w:right w:val="nil"/>
            </w:tcBorders>
            <w:shd w:val="clear" w:color="000000" w:fill="FFFFFF"/>
            <w:vAlign w:val="center"/>
            <w:hideMark/>
          </w:tcPr>
          <w:p w14:paraId="20032C3D"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15.5%</w:t>
            </w:r>
          </w:p>
        </w:tc>
        <w:tc>
          <w:tcPr>
            <w:tcW w:w="709" w:type="dxa"/>
            <w:tcBorders>
              <w:top w:val="nil"/>
              <w:left w:val="nil"/>
              <w:bottom w:val="nil"/>
              <w:right w:val="nil"/>
            </w:tcBorders>
            <w:shd w:val="clear" w:color="000000" w:fill="FFFFFF"/>
            <w:vAlign w:val="center"/>
            <w:hideMark/>
          </w:tcPr>
          <w:p w14:paraId="34C4F069"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15.4%</w:t>
            </w:r>
          </w:p>
        </w:tc>
        <w:tc>
          <w:tcPr>
            <w:tcW w:w="709" w:type="dxa"/>
            <w:tcBorders>
              <w:top w:val="nil"/>
              <w:left w:val="nil"/>
              <w:bottom w:val="nil"/>
              <w:right w:val="nil"/>
            </w:tcBorders>
            <w:shd w:val="clear" w:color="000000" w:fill="FFFFFF"/>
            <w:vAlign w:val="center"/>
            <w:hideMark/>
          </w:tcPr>
          <w:p w14:paraId="0247B43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13.7%</w:t>
            </w:r>
          </w:p>
        </w:tc>
        <w:tc>
          <w:tcPr>
            <w:tcW w:w="708" w:type="dxa"/>
            <w:tcBorders>
              <w:top w:val="nil"/>
              <w:left w:val="nil"/>
              <w:bottom w:val="nil"/>
              <w:right w:val="nil"/>
            </w:tcBorders>
            <w:shd w:val="clear" w:color="000000" w:fill="FFFFFF"/>
            <w:vAlign w:val="center"/>
            <w:hideMark/>
          </w:tcPr>
          <w:p w14:paraId="13D9E4D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14.7%</w:t>
            </w:r>
          </w:p>
        </w:tc>
        <w:tc>
          <w:tcPr>
            <w:tcW w:w="709" w:type="dxa"/>
            <w:tcBorders>
              <w:top w:val="nil"/>
              <w:left w:val="nil"/>
              <w:bottom w:val="nil"/>
              <w:right w:val="nil"/>
            </w:tcBorders>
            <w:shd w:val="clear" w:color="000000" w:fill="FFFFFF"/>
            <w:vAlign w:val="center"/>
            <w:hideMark/>
          </w:tcPr>
          <w:p w14:paraId="292E03A6"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15.0%</w:t>
            </w:r>
          </w:p>
        </w:tc>
      </w:tr>
      <w:tr w:rsidR="00195EDA" w:rsidRPr="0072243E" w14:paraId="7A10763F" w14:textId="77777777" w:rsidTr="0072243E">
        <w:trPr>
          <w:trHeight w:val="270"/>
        </w:trPr>
        <w:tc>
          <w:tcPr>
            <w:tcW w:w="993" w:type="dxa"/>
            <w:vMerge/>
            <w:tcBorders>
              <w:top w:val="nil"/>
              <w:left w:val="nil"/>
              <w:bottom w:val="double" w:sz="6" w:space="0" w:color="000000"/>
              <w:right w:val="nil"/>
            </w:tcBorders>
            <w:vAlign w:val="center"/>
            <w:hideMark/>
          </w:tcPr>
          <w:p w14:paraId="1BA06B48"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p>
        </w:tc>
        <w:tc>
          <w:tcPr>
            <w:tcW w:w="1559" w:type="dxa"/>
            <w:tcBorders>
              <w:top w:val="nil"/>
              <w:left w:val="nil"/>
              <w:bottom w:val="double" w:sz="6" w:space="0" w:color="auto"/>
              <w:right w:val="nil"/>
            </w:tcBorders>
            <w:shd w:val="clear" w:color="000000" w:fill="FFFFFF"/>
            <w:vAlign w:val="center"/>
            <w:hideMark/>
          </w:tcPr>
          <w:p w14:paraId="74405AE8" w14:textId="77777777" w:rsidR="00195EDA" w:rsidRPr="0072243E" w:rsidRDefault="00195EDA" w:rsidP="00195EDA">
            <w:pPr>
              <w:spacing w:after="0" w:line="240" w:lineRule="auto"/>
              <w:rPr>
                <w:rFonts w:ascii="Arial" w:eastAsia="Times New Roman" w:hAnsi="Arial" w:cs="Arial"/>
                <w:b/>
                <w:bCs/>
                <w:color w:val="000000"/>
                <w:sz w:val="16"/>
                <w:szCs w:val="16"/>
                <w:lang w:eastAsia="es-MX"/>
              </w:rPr>
            </w:pPr>
            <w:r w:rsidRPr="0072243E">
              <w:rPr>
                <w:rFonts w:ascii="Arial" w:eastAsia="Times New Roman" w:hAnsi="Arial" w:cs="Arial"/>
                <w:b/>
                <w:bCs/>
                <w:color w:val="000000"/>
                <w:sz w:val="16"/>
                <w:szCs w:val="16"/>
                <w:lang w:eastAsia="es-MX"/>
              </w:rPr>
              <w:t xml:space="preserve">100,000 y </w:t>
            </w:r>
            <w:proofErr w:type="spellStart"/>
            <w:r w:rsidRPr="0072243E">
              <w:rPr>
                <w:rFonts w:ascii="Arial" w:eastAsia="Times New Roman" w:hAnsi="Arial" w:cs="Arial"/>
                <w:b/>
                <w:bCs/>
                <w:color w:val="000000"/>
                <w:sz w:val="16"/>
                <w:szCs w:val="16"/>
                <w:lang w:eastAsia="es-MX"/>
              </w:rPr>
              <w:t>mas</w:t>
            </w:r>
            <w:proofErr w:type="spellEnd"/>
            <w:r w:rsidRPr="0072243E">
              <w:rPr>
                <w:rFonts w:ascii="Arial" w:eastAsia="Times New Roman" w:hAnsi="Arial" w:cs="Arial"/>
                <w:b/>
                <w:bCs/>
                <w:color w:val="000000"/>
                <w:sz w:val="16"/>
                <w:szCs w:val="16"/>
                <w:lang w:eastAsia="es-MX"/>
              </w:rPr>
              <w:t xml:space="preserve"> habitantes</w:t>
            </w:r>
          </w:p>
        </w:tc>
        <w:tc>
          <w:tcPr>
            <w:tcW w:w="709" w:type="dxa"/>
            <w:tcBorders>
              <w:top w:val="nil"/>
              <w:left w:val="nil"/>
              <w:bottom w:val="double" w:sz="6" w:space="0" w:color="auto"/>
              <w:right w:val="nil"/>
            </w:tcBorders>
            <w:shd w:val="clear" w:color="000000" w:fill="FFFFFF"/>
            <w:vAlign w:val="center"/>
            <w:hideMark/>
          </w:tcPr>
          <w:p w14:paraId="63EC677F"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38.0%</w:t>
            </w:r>
          </w:p>
        </w:tc>
        <w:tc>
          <w:tcPr>
            <w:tcW w:w="850" w:type="dxa"/>
            <w:tcBorders>
              <w:top w:val="nil"/>
              <w:left w:val="nil"/>
              <w:bottom w:val="double" w:sz="6" w:space="0" w:color="auto"/>
              <w:right w:val="nil"/>
            </w:tcBorders>
            <w:shd w:val="clear" w:color="000000" w:fill="FFFFFF"/>
            <w:vAlign w:val="center"/>
            <w:hideMark/>
          </w:tcPr>
          <w:p w14:paraId="7F4B5EA8"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31.3%</w:t>
            </w:r>
          </w:p>
        </w:tc>
        <w:tc>
          <w:tcPr>
            <w:tcW w:w="709" w:type="dxa"/>
            <w:tcBorders>
              <w:top w:val="nil"/>
              <w:left w:val="nil"/>
              <w:bottom w:val="double" w:sz="6" w:space="0" w:color="auto"/>
              <w:right w:val="nil"/>
            </w:tcBorders>
            <w:shd w:val="clear" w:color="000000" w:fill="FFFFFF"/>
            <w:vAlign w:val="center"/>
            <w:hideMark/>
          </w:tcPr>
          <w:p w14:paraId="097B45FA"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35.7%</w:t>
            </w:r>
          </w:p>
        </w:tc>
        <w:tc>
          <w:tcPr>
            <w:tcW w:w="850" w:type="dxa"/>
            <w:tcBorders>
              <w:top w:val="nil"/>
              <w:left w:val="nil"/>
              <w:bottom w:val="double" w:sz="6" w:space="0" w:color="auto"/>
              <w:right w:val="nil"/>
            </w:tcBorders>
            <w:shd w:val="clear" w:color="000000" w:fill="FFFFFF"/>
            <w:vAlign w:val="center"/>
            <w:hideMark/>
          </w:tcPr>
          <w:p w14:paraId="59382D82"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55.9%</w:t>
            </w:r>
          </w:p>
        </w:tc>
        <w:tc>
          <w:tcPr>
            <w:tcW w:w="709" w:type="dxa"/>
            <w:tcBorders>
              <w:top w:val="nil"/>
              <w:left w:val="nil"/>
              <w:bottom w:val="double" w:sz="6" w:space="0" w:color="auto"/>
              <w:right w:val="nil"/>
            </w:tcBorders>
            <w:shd w:val="clear" w:color="000000" w:fill="FFFFFF"/>
            <w:vAlign w:val="center"/>
            <w:hideMark/>
          </w:tcPr>
          <w:p w14:paraId="5B36BC13"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50.6%</w:t>
            </w:r>
          </w:p>
        </w:tc>
        <w:tc>
          <w:tcPr>
            <w:tcW w:w="709" w:type="dxa"/>
            <w:tcBorders>
              <w:top w:val="nil"/>
              <w:left w:val="nil"/>
              <w:bottom w:val="double" w:sz="6" w:space="0" w:color="auto"/>
              <w:right w:val="nil"/>
            </w:tcBorders>
            <w:shd w:val="clear" w:color="000000" w:fill="FFFFFF"/>
            <w:vAlign w:val="center"/>
            <w:hideMark/>
          </w:tcPr>
          <w:p w14:paraId="5DDA1BAA"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50.9%</w:t>
            </w:r>
          </w:p>
        </w:tc>
        <w:tc>
          <w:tcPr>
            <w:tcW w:w="709" w:type="dxa"/>
            <w:tcBorders>
              <w:top w:val="nil"/>
              <w:left w:val="nil"/>
              <w:bottom w:val="double" w:sz="6" w:space="0" w:color="auto"/>
              <w:right w:val="nil"/>
            </w:tcBorders>
            <w:shd w:val="clear" w:color="000000" w:fill="FFFFFF"/>
            <w:vAlign w:val="center"/>
            <w:hideMark/>
          </w:tcPr>
          <w:p w14:paraId="13641EC7"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47.8%</w:t>
            </w:r>
          </w:p>
        </w:tc>
        <w:tc>
          <w:tcPr>
            <w:tcW w:w="708" w:type="dxa"/>
            <w:tcBorders>
              <w:top w:val="nil"/>
              <w:left w:val="nil"/>
              <w:bottom w:val="double" w:sz="6" w:space="0" w:color="auto"/>
              <w:right w:val="nil"/>
            </w:tcBorders>
            <w:shd w:val="clear" w:color="000000" w:fill="FFFFFF"/>
            <w:vAlign w:val="center"/>
            <w:hideMark/>
          </w:tcPr>
          <w:p w14:paraId="02FD7FDB"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48.0%</w:t>
            </w:r>
          </w:p>
        </w:tc>
        <w:tc>
          <w:tcPr>
            <w:tcW w:w="709" w:type="dxa"/>
            <w:tcBorders>
              <w:top w:val="nil"/>
              <w:left w:val="nil"/>
              <w:bottom w:val="double" w:sz="6" w:space="0" w:color="auto"/>
              <w:right w:val="nil"/>
            </w:tcBorders>
            <w:shd w:val="clear" w:color="000000" w:fill="FFFFFF"/>
            <w:vAlign w:val="center"/>
            <w:hideMark/>
          </w:tcPr>
          <w:p w14:paraId="521E9394" w14:textId="77777777" w:rsidR="00195EDA" w:rsidRPr="0072243E" w:rsidRDefault="00195EDA" w:rsidP="00195EDA">
            <w:pPr>
              <w:spacing w:after="0" w:line="240" w:lineRule="auto"/>
              <w:jc w:val="right"/>
              <w:rPr>
                <w:rFonts w:ascii="Arial" w:eastAsia="Times New Roman" w:hAnsi="Arial" w:cs="Arial"/>
                <w:color w:val="000000"/>
                <w:sz w:val="16"/>
                <w:szCs w:val="16"/>
                <w:lang w:eastAsia="es-MX"/>
              </w:rPr>
            </w:pPr>
            <w:r w:rsidRPr="0072243E">
              <w:rPr>
                <w:rFonts w:ascii="Arial" w:eastAsia="Times New Roman" w:hAnsi="Arial" w:cs="Arial"/>
                <w:color w:val="000000"/>
                <w:sz w:val="16"/>
                <w:szCs w:val="16"/>
                <w:lang w:eastAsia="es-MX"/>
              </w:rPr>
              <w:t>47.6%</w:t>
            </w:r>
          </w:p>
        </w:tc>
      </w:tr>
      <w:tr w:rsidR="00195EDA" w:rsidRPr="0072243E" w14:paraId="0B854D9E" w14:textId="77777777" w:rsidTr="0072243E">
        <w:trPr>
          <w:trHeight w:val="270"/>
        </w:trPr>
        <w:tc>
          <w:tcPr>
            <w:tcW w:w="8505" w:type="dxa"/>
            <w:gridSpan w:val="10"/>
            <w:tcBorders>
              <w:top w:val="nil"/>
              <w:left w:val="nil"/>
              <w:bottom w:val="nil"/>
              <w:right w:val="nil"/>
            </w:tcBorders>
            <w:shd w:val="clear" w:color="000000" w:fill="FFFFFF"/>
            <w:noWrap/>
            <w:vAlign w:val="center"/>
            <w:hideMark/>
          </w:tcPr>
          <w:p w14:paraId="64954BCA" w14:textId="77777777" w:rsidR="00195EDA" w:rsidRPr="0072243E" w:rsidRDefault="00195EDA" w:rsidP="00195EDA">
            <w:pPr>
              <w:spacing w:after="0" w:line="240" w:lineRule="auto"/>
              <w:rPr>
                <w:rFonts w:ascii="Arial" w:eastAsia="Times New Roman" w:hAnsi="Arial" w:cs="Arial"/>
                <w:sz w:val="16"/>
                <w:szCs w:val="16"/>
                <w:lang w:eastAsia="es-MX"/>
              </w:rPr>
            </w:pPr>
            <w:r w:rsidRPr="0072243E">
              <w:rPr>
                <w:rFonts w:ascii="Arial" w:eastAsia="Times New Roman" w:hAnsi="Arial" w:cs="Arial"/>
                <w:sz w:val="16"/>
                <w:szCs w:val="16"/>
                <w:lang w:eastAsia="es-MX"/>
              </w:rPr>
              <w:t>Fuente: Elaboración propia a partir de los microdatos de los Censos de Población y Vivienda de 2000, 2010 y Encuesta Intercensal 2015</w:t>
            </w:r>
          </w:p>
        </w:tc>
        <w:tc>
          <w:tcPr>
            <w:tcW w:w="709" w:type="dxa"/>
            <w:tcBorders>
              <w:top w:val="nil"/>
              <w:left w:val="nil"/>
              <w:bottom w:val="nil"/>
              <w:right w:val="nil"/>
            </w:tcBorders>
            <w:shd w:val="clear" w:color="000000" w:fill="FFFFFF"/>
            <w:noWrap/>
            <w:vAlign w:val="center"/>
            <w:hideMark/>
          </w:tcPr>
          <w:p w14:paraId="4E897CCB" w14:textId="77777777" w:rsidR="00195EDA" w:rsidRPr="0072243E" w:rsidRDefault="00195EDA" w:rsidP="00195EDA">
            <w:pPr>
              <w:spacing w:after="0" w:line="240" w:lineRule="auto"/>
              <w:rPr>
                <w:rFonts w:ascii="Arial" w:eastAsia="Times New Roman" w:hAnsi="Arial" w:cs="Arial"/>
                <w:sz w:val="16"/>
                <w:szCs w:val="16"/>
                <w:lang w:eastAsia="es-MX"/>
              </w:rPr>
            </w:pPr>
            <w:r w:rsidRPr="0072243E">
              <w:rPr>
                <w:rFonts w:ascii="Arial" w:eastAsia="Times New Roman" w:hAnsi="Arial" w:cs="Arial"/>
                <w:sz w:val="16"/>
                <w:szCs w:val="16"/>
                <w:lang w:eastAsia="es-MX"/>
              </w:rPr>
              <w:t> </w:t>
            </w:r>
          </w:p>
        </w:tc>
      </w:tr>
    </w:tbl>
    <w:p w14:paraId="7A96F821" w14:textId="3163F5F4" w:rsidR="004648AE" w:rsidRDefault="004648AE" w:rsidP="004648AE">
      <w:pPr>
        <w:spacing w:before="240" w:after="240" w:line="240" w:lineRule="auto"/>
        <w:jc w:val="both"/>
        <w:rPr>
          <w:rFonts w:ascii="Times New Roman" w:eastAsia="Times New Roman" w:hAnsi="Times New Roman" w:cs="Times New Roman"/>
          <w:sz w:val="24"/>
          <w:szCs w:val="24"/>
          <w:lang w:eastAsia="es-MX"/>
        </w:rPr>
      </w:pPr>
    </w:p>
    <w:p w14:paraId="62DF54ED" w14:textId="2CC9E649" w:rsidR="005A17FA" w:rsidRDefault="005A17FA" w:rsidP="004648AE">
      <w:pPr>
        <w:spacing w:before="240" w:after="240" w:line="240" w:lineRule="auto"/>
        <w:jc w:val="both"/>
        <w:rPr>
          <w:rFonts w:ascii="Times New Roman" w:eastAsia="Times New Roman" w:hAnsi="Times New Roman" w:cs="Times New Roman"/>
          <w:sz w:val="24"/>
          <w:szCs w:val="24"/>
          <w:lang w:eastAsia="es-MX"/>
        </w:rPr>
      </w:pPr>
    </w:p>
    <w:p w14:paraId="58943E5B" w14:textId="4A291FF8" w:rsidR="005A17FA" w:rsidRDefault="005A17FA" w:rsidP="004648AE">
      <w:pPr>
        <w:spacing w:before="240" w:after="240" w:line="240" w:lineRule="auto"/>
        <w:jc w:val="both"/>
        <w:rPr>
          <w:rFonts w:ascii="Times New Roman" w:eastAsia="Times New Roman" w:hAnsi="Times New Roman" w:cs="Times New Roman"/>
          <w:sz w:val="24"/>
          <w:szCs w:val="24"/>
          <w:lang w:eastAsia="es-MX"/>
        </w:rPr>
      </w:pPr>
    </w:p>
    <w:p w14:paraId="26BC510D" w14:textId="77777777" w:rsidR="005A17FA" w:rsidRDefault="005A17FA" w:rsidP="004648AE">
      <w:pPr>
        <w:spacing w:before="240" w:after="240" w:line="240" w:lineRule="auto"/>
        <w:jc w:val="both"/>
        <w:rPr>
          <w:rFonts w:ascii="Times New Roman" w:eastAsia="Times New Roman" w:hAnsi="Times New Roman" w:cs="Times New Roman"/>
          <w:sz w:val="24"/>
          <w:szCs w:val="24"/>
          <w:lang w:eastAsia="es-MX"/>
        </w:rPr>
      </w:pPr>
    </w:p>
    <w:tbl>
      <w:tblPr>
        <w:tblW w:w="8740" w:type="dxa"/>
        <w:tblCellMar>
          <w:left w:w="70" w:type="dxa"/>
          <w:right w:w="70" w:type="dxa"/>
        </w:tblCellMar>
        <w:tblLook w:val="04A0" w:firstRow="1" w:lastRow="0" w:firstColumn="1" w:lastColumn="0" w:noHBand="0" w:noVBand="1"/>
      </w:tblPr>
      <w:tblGrid>
        <w:gridCol w:w="1128"/>
        <w:gridCol w:w="595"/>
        <w:gridCol w:w="720"/>
        <w:gridCol w:w="781"/>
        <w:gridCol w:w="818"/>
        <w:gridCol w:w="818"/>
        <w:gridCol w:w="781"/>
        <w:gridCol w:w="818"/>
        <w:gridCol w:w="720"/>
        <w:gridCol w:w="781"/>
        <w:gridCol w:w="818"/>
      </w:tblGrid>
      <w:tr w:rsidR="00AD40BF" w:rsidRPr="00AD40BF" w14:paraId="2878C7D8" w14:textId="77777777" w:rsidTr="00AD40BF">
        <w:trPr>
          <w:trHeight w:val="795"/>
        </w:trPr>
        <w:tc>
          <w:tcPr>
            <w:tcW w:w="8740" w:type="dxa"/>
            <w:gridSpan w:val="11"/>
            <w:tcBorders>
              <w:top w:val="nil"/>
              <w:left w:val="nil"/>
              <w:bottom w:val="double" w:sz="6" w:space="0" w:color="auto"/>
              <w:right w:val="nil"/>
            </w:tcBorders>
            <w:shd w:val="clear" w:color="000000" w:fill="FFFFFF"/>
            <w:vAlign w:val="center"/>
            <w:hideMark/>
          </w:tcPr>
          <w:p w14:paraId="365CFD93" w14:textId="77777777" w:rsidR="00AD40BF" w:rsidRPr="00AD40BF" w:rsidRDefault="00AD40BF" w:rsidP="00AD40BF">
            <w:pPr>
              <w:spacing w:after="0" w:line="240" w:lineRule="auto"/>
              <w:jc w:val="center"/>
              <w:rPr>
                <w:rFonts w:ascii="Arial" w:eastAsia="Times New Roman" w:hAnsi="Arial" w:cs="Arial"/>
                <w:b/>
                <w:bCs/>
                <w:sz w:val="24"/>
                <w:szCs w:val="24"/>
                <w:lang w:eastAsia="es-MX"/>
              </w:rPr>
            </w:pPr>
            <w:r w:rsidRPr="00AD40BF">
              <w:rPr>
                <w:rFonts w:ascii="Arial" w:eastAsia="Times New Roman" w:hAnsi="Arial" w:cs="Arial"/>
                <w:b/>
                <w:bCs/>
                <w:sz w:val="24"/>
                <w:szCs w:val="24"/>
                <w:lang w:eastAsia="es-MX"/>
              </w:rPr>
              <w:lastRenderedPageBreak/>
              <w:t xml:space="preserve">Tabla 2. Medidas de tendencia central y dispersión de variables sociodemográficas para tipos de migrantes, E.U.M., 2000, 2010 y 2015 </w:t>
            </w:r>
          </w:p>
        </w:tc>
      </w:tr>
      <w:tr w:rsidR="00AD40BF" w:rsidRPr="00AD40BF" w14:paraId="5B8F235B" w14:textId="77777777" w:rsidTr="00AD40BF">
        <w:trPr>
          <w:trHeight w:val="285"/>
        </w:trPr>
        <w:tc>
          <w:tcPr>
            <w:tcW w:w="1123" w:type="dxa"/>
            <w:vMerge w:val="restart"/>
            <w:tcBorders>
              <w:top w:val="nil"/>
              <w:left w:val="nil"/>
              <w:bottom w:val="double" w:sz="6" w:space="0" w:color="000000"/>
              <w:right w:val="nil"/>
            </w:tcBorders>
            <w:shd w:val="clear" w:color="000000" w:fill="FFFFFF"/>
            <w:vAlign w:val="center"/>
            <w:hideMark/>
          </w:tcPr>
          <w:p w14:paraId="3C978256"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Variable</w:t>
            </w:r>
          </w:p>
        </w:tc>
        <w:tc>
          <w:tcPr>
            <w:tcW w:w="595" w:type="dxa"/>
            <w:vMerge w:val="restart"/>
            <w:tcBorders>
              <w:top w:val="nil"/>
              <w:left w:val="nil"/>
              <w:bottom w:val="double" w:sz="6" w:space="0" w:color="000000"/>
              <w:right w:val="nil"/>
            </w:tcBorders>
            <w:shd w:val="clear" w:color="000000" w:fill="FFFFFF"/>
            <w:vAlign w:val="center"/>
            <w:hideMark/>
          </w:tcPr>
          <w:p w14:paraId="1B6FE10E"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Año</w:t>
            </w:r>
          </w:p>
        </w:tc>
        <w:tc>
          <w:tcPr>
            <w:tcW w:w="2308" w:type="dxa"/>
            <w:gridSpan w:val="3"/>
            <w:tcBorders>
              <w:top w:val="double" w:sz="6" w:space="0" w:color="auto"/>
              <w:left w:val="nil"/>
              <w:bottom w:val="double" w:sz="6" w:space="0" w:color="auto"/>
              <w:right w:val="nil"/>
            </w:tcBorders>
            <w:shd w:val="clear" w:color="000000" w:fill="FFFFFF"/>
            <w:noWrap/>
            <w:vAlign w:val="bottom"/>
            <w:hideMark/>
          </w:tcPr>
          <w:p w14:paraId="2E199853"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Retornados</w:t>
            </w:r>
          </w:p>
        </w:tc>
        <w:tc>
          <w:tcPr>
            <w:tcW w:w="2406" w:type="dxa"/>
            <w:gridSpan w:val="3"/>
            <w:tcBorders>
              <w:top w:val="double" w:sz="6" w:space="0" w:color="auto"/>
              <w:left w:val="nil"/>
              <w:bottom w:val="double" w:sz="6" w:space="0" w:color="auto"/>
              <w:right w:val="nil"/>
            </w:tcBorders>
            <w:shd w:val="clear" w:color="000000" w:fill="FFFFFF"/>
            <w:noWrap/>
            <w:vAlign w:val="bottom"/>
            <w:hideMark/>
          </w:tcPr>
          <w:p w14:paraId="26F57182"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Nacidos en Estados Unidos</w:t>
            </w:r>
          </w:p>
        </w:tc>
        <w:tc>
          <w:tcPr>
            <w:tcW w:w="2308" w:type="dxa"/>
            <w:gridSpan w:val="3"/>
            <w:tcBorders>
              <w:top w:val="double" w:sz="6" w:space="0" w:color="auto"/>
              <w:left w:val="nil"/>
              <w:bottom w:val="double" w:sz="6" w:space="0" w:color="auto"/>
              <w:right w:val="nil"/>
            </w:tcBorders>
            <w:shd w:val="clear" w:color="000000" w:fill="FFFFFF"/>
            <w:noWrap/>
            <w:vAlign w:val="bottom"/>
            <w:hideMark/>
          </w:tcPr>
          <w:p w14:paraId="31105B66"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No migrantes</w:t>
            </w:r>
          </w:p>
        </w:tc>
      </w:tr>
      <w:tr w:rsidR="00AD40BF" w:rsidRPr="00AD40BF" w14:paraId="7FE7348A" w14:textId="77777777" w:rsidTr="00AD40BF">
        <w:trPr>
          <w:trHeight w:val="285"/>
        </w:trPr>
        <w:tc>
          <w:tcPr>
            <w:tcW w:w="1123" w:type="dxa"/>
            <w:vMerge/>
            <w:tcBorders>
              <w:top w:val="nil"/>
              <w:left w:val="nil"/>
              <w:bottom w:val="double" w:sz="6" w:space="0" w:color="000000"/>
              <w:right w:val="nil"/>
            </w:tcBorders>
            <w:vAlign w:val="center"/>
            <w:hideMark/>
          </w:tcPr>
          <w:p w14:paraId="1D4C48F4"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vMerge/>
            <w:tcBorders>
              <w:top w:val="nil"/>
              <w:left w:val="nil"/>
              <w:bottom w:val="double" w:sz="6" w:space="0" w:color="000000"/>
              <w:right w:val="nil"/>
            </w:tcBorders>
            <w:vAlign w:val="center"/>
            <w:hideMark/>
          </w:tcPr>
          <w:p w14:paraId="12978BE4"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720" w:type="dxa"/>
            <w:tcBorders>
              <w:top w:val="nil"/>
              <w:left w:val="nil"/>
              <w:bottom w:val="double" w:sz="6" w:space="0" w:color="auto"/>
              <w:right w:val="nil"/>
            </w:tcBorders>
            <w:shd w:val="clear" w:color="000000" w:fill="FFFFFF"/>
            <w:noWrap/>
            <w:vAlign w:val="bottom"/>
            <w:hideMark/>
          </w:tcPr>
          <w:p w14:paraId="5ADE55BC"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Media</w:t>
            </w:r>
          </w:p>
        </w:tc>
        <w:tc>
          <w:tcPr>
            <w:tcW w:w="770" w:type="dxa"/>
            <w:tcBorders>
              <w:top w:val="nil"/>
              <w:left w:val="nil"/>
              <w:bottom w:val="double" w:sz="6" w:space="0" w:color="auto"/>
              <w:right w:val="nil"/>
            </w:tcBorders>
            <w:shd w:val="clear" w:color="000000" w:fill="FFFFFF"/>
            <w:noWrap/>
            <w:vAlign w:val="bottom"/>
            <w:hideMark/>
          </w:tcPr>
          <w:p w14:paraId="1E8BF812"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Mediana</w:t>
            </w:r>
          </w:p>
        </w:tc>
        <w:tc>
          <w:tcPr>
            <w:tcW w:w="818" w:type="dxa"/>
            <w:tcBorders>
              <w:top w:val="nil"/>
              <w:left w:val="nil"/>
              <w:bottom w:val="double" w:sz="6" w:space="0" w:color="auto"/>
              <w:right w:val="nil"/>
            </w:tcBorders>
            <w:shd w:val="clear" w:color="000000" w:fill="FFFFFF"/>
            <w:noWrap/>
            <w:vAlign w:val="bottom"/>
            <w:hideMark/>
          </w:tcPr>
          <w:p w14:paraId="7AB89E28"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proofErr w:type="spellStart"/>
            <w:r w:rsidRPr="00AD40BF">
              <w:rPr>
                <w:rFonts w:ascii="Arial" w:eastAsia="Times New Roman" w:hAnsi="Arial" w:cs="Arial"/>
                <w:b/>
                <w:bCs/>
                <w:sz w:val="16"/>
                <w:szCs w:val="16"/>
                <w:lang w:eastAsia="es-MX"/>
              </w:rPr>
              <w:t>Desv</w:t>
            </w:r>
            <w:proofErr w:type="spellEnd"/>
            <w:r w:rsidRPr="00AD40BF">
              <w:rPr>
                <w:rFonts w:ascii="Arial" w:eastAsia="Times New Roman" w:hAnsi="Arial" w:cs="Arial"/>
                <w:b/>
                <w:bCs/>
                <w:sz w:val="16"/>
                <w:szCs w:val="16"/>
                <w:lang w:eastAsia="es-MX"/>
              </w:rPr>
              <w:t xml:space="preserve">. </w:t>
            </w:r>
            <w:proofErr w:type="spellStart"/>
            <w:r w:rsidRPr="00AD40BF">
              <w:rPr>
                <w:rFonts w:ascii="Arial" w:eastAsia="Times New Roman" w:hAnsi="Arial" w:cs="Arial"/>
                <w:b/>
                <w:bCs/>
                <w:sz w:val="16"/>
                <w:szCs w:val="16"/>
                <w:lang w:eastAsia="es-MX"/>
              </w:rPr>
              <w:t>típ</w:t>
            </w:r>
            <w:proofErr w:type="spellEnd"/>
            <w:r w:rsidRPr="00AD40BF">
              <w:rPr>
                <w:rFonts w:ascii="Arial" w:eastAsia="Times New Roman" w:hAnsi="Arial" w:cs="Arial"/>
                <w:b/>
                <w:bCs/>
                <w:sz w:val="16"/>
                <w:szCs w:val="16"/>
                <w:lang w:eastAsia="es-MX"/>
              </w:rPr>
              <w:t>.</w:t>
            </w:r>
          </w:p>
        </w:tc>
        <w:tc>
          <w:tcPr>
            <w:tcW w:w="818" w:type="dxa"/>
            <w:tcBorders>
              <w:top w:val="nil"/>
              <w:left w:val="nil"/>
              <w:bottom w:val="double" w:sz="6" w:space="0" w:color="auto"/>
              <w:right w:val="nil"/>
            </w:tcBorders>
            <w:shd w:val="clear" w:color="000000" w:fill="FFFFFF"/>
            <w:noWrap/>
            <w:vAlign w:val="bottom"/>
            <w:hideMark/>
          </w:tcPr>
          <w:p w14:paraId="179859A6"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Media</w:t>
            </w:r>
          </w:p>
        </w:tc>
        <w:tc>
          <w:tcPr>
            <w:tcW w:w="770" w:type="dxa"/>
            <w:tcBorders>
              <w:top w:val="nil"/>
              <w:left w:val="nil"/>
              <w:bottom w:val="double" w:sz="6" w:space="0" w:color="auto"/>
              <w:right w:val="nil"/>
            </w:tcBorders>
            <w:shd w:val="clear" w:color="000000" w:fill="FFFFFF"/>
            <w:noWrap/>
            <w:vAlign w:val="bottom"/>
            <w:hideMark/>
          </w:tcPr>
          <w:p w14:paraId="4AB3E52F"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Mediana</w:t>
            </w:r>
          </w:p>
        </w:tc>
        <w:tc>
          <w:tcPr>
            <w:tcW w:w="818" w:type="dxa"/>
            <w:tcBorders>
              <w:top w:val="nil"/>
              <w:left w:val="nil"/>
              <w:bottom w:val="double" w:sz="6" w:space="0" w:color="auto"/>
              <w:right w:val="nil"/>
            </w:tcBorders>
            <w:shd w:val="clear" w:color="000000" w:fill="FFFFFF"/>
            <w:noWrap/>
            <w:vAlign w:val="bottom"/>
            <w:hideMark/>
          </w:tcPr>
          <w:p w14:paraId="726C1888"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proofErr w:type="spellStart"/>
            <w:r w:rsidRPr="00AD40BF">
              <w:rPr>
                <w:rFonts w:ascii="Arial" w:eastAsia="Times New Roman" w:hAnsi="Arial" w:cs="Arial"/>
                <w:b/>
                <w:bCs/>
                <w:sz w:val="16"/>
                <w:szCs w:val="16"/>
                <w:lang w:eastAsia="es-MX"/>
              </w:rPr>
              <w:t>Desv</w:t>
            </w:r>
            <w:proofErr w:type="spellEnd"/>
            <w:r w:rsidRPr="00AD40BF">
              <w:rPr>
                <w:rFonts w:ascii="Arial" w:eastAsia="Times New Roman" w:hAnsi="Arial" w:cs="Arial"/>
                <w:b/>
                <w:bCs/>
                <w:sz w:val="16"/>
                <w:szCs w:val="16"/>
                <w:lang w:eastAsia="es-MX"/>
              </w:rPr>
              <w:t xml:space="preserve">. </w:t>
            </w:r>
            <w:proofErr w:type="spellStart"/>
            <w:r w:rsidRPr="00AD40BF">
              <w:rPr>
                <w:rFonts w:ascii="Arial" w:eastAsia="Times New Roman" w:hAnsi="Arial" w:cs="Arial"/>
                <w:b/>
                <w:bCs/>
                <w:sz w:val="16"/>
                <w:szCs w:val="16"/>
                <w:lang w:eastAsia="es-MX"/>
              </w:rPr>
              <w:t>típ</w:t>
            </w:r>
            <w:proofErr w:type="spellEnd"/>
            <w:r w:rsidRPr="00AD40BF">
              <w:rPr>
                <w:rFonts w:ascii="Arial" w:eastAsia="Times New Roman" w:hAnsi="Arial" w:cs="Arial"/>
                <w:b/>
                <w:bCs/>
                <w:sz w:val="16"/>
                <w:szCs w:val="16"/>
                <w:lang w:eastAsia="es-MX"/>
              </w:rPr>
              <w:t>.</w:t>
            </w:r>
          </w:p>
        </w:tc>
        <w:tc>
          <w:tcPr>
            <w:tcW w:w="720" w:type="dxa"/>
            <w:tcBorders>
              <w:top w:val="nil"/>
              <w:left w:val="nil"/>
              <w:bottom w:val="double" w:sz="6" w:space="0" w:color="auto"/>
              <w:right w:val="nil"/>
            </w:tcBorders>
            <w:shd w:val="clear" w:color="000000" w:fill="FFFFFF"/>
            <w:noWrap/>
            <w:vAlign w:val="bottom"/>
            <w:hideMark/>
          </w:tcPr>
          <w:p w14:paraId="37F61F27"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Media</w:t>
            </w:r>
          </w:p>
        </w:tc>
        <w:tc>
          <w:tcPr>
            <w:tcW w:w="770" w:type="dxa"/>
            <w:tcBorders>
              <w:top w:val="nil"/>
              <w:left w:val="nil"/>
              <w:bottom w:val="double" w:sz="6" w:space="0" w:color="auto"/>
              <w:right w:val="nil"/>
            </w:tcBorders>
            <w:shd w:val="clear" w:color="000000" w:fill="FFFFFF"/>
            <w:noWrap/>
            <w:vAlign w:val="bottom"/>
            <w:hideMark/>
          </w:tcPr>
          <w:p w14:paraId="7815FDD8"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Mediana</w:t>
            </w:r>
          </w:p>
        </w:tc>
        <w:tc>
          <w:tcPr>
            <w:tcW w:w="818" w:type="dxa"/>
            <w:tcBorders>
              <w:top w:val="nil"/>
              <w:left w:val="nil"/>
              <w:bottom w:val="double" w:sz="6" w:space="0" w:color="auto"/>
              <w:right w:val="nil"/>
            </w:tcBorders>
            <w:shd w:val="clear" w:color="000000" w:fill="FFFFFF"/>
            <w:noWrap/>
            <w:vAlign w:val="bottom"/>
            <w:hideMark/>
          </w:tcPr>
          <w:p w14:paraId="7EB85022" w14:textId="77777777" w:rsidR="00AD40BF" w:rsidRPr="00AD40BF" w:rsidRDefault="00AD40BF" w:rsidP="00AD40BF">
            <w:pPr>
              <w:spacing w:after="0" w:line="240" w:lineRule="auto"/>
              <w:jc w:val="center"/>
              <w:rPr>
                <w:rFonts w:ascii="Arial" w:eastAsia="Times New Roman" w:hAnsi="Arial" w:cs="Arial"/>
                <w:b/>
                <w:bCs/>
                <w:sz w:val="16"/>
                <w:szCs w:val="16"/>
                <w:lang w:eastAsia="es-MX"/>
              </w:rPr>
            </w:pPr>
            <w:proofErr w:type="spellStart"/>
            <w:r w:rsidRPr="00AD40BF">
              <w:rPr>
                <w:rFonts w:ascii="Arial" w:eastAsia="Times New Roman" w:hAnsi="Arial" w:cs="Arial"/>
                <w:b/>
                <w:bCs/>
                <w:sz w:val="16"/>
                <w:szCs w:val="16"/>
                <w:lang w:eastAsia="es-MX"/>
              </w:rPr>
              <w:t>Desv</w:t>
            </w:r>
            <w:proofErr w:type="spellEnd"/>
            <w:r w:rsidRPr="00AD40BF">
              <w:rPr>
                <w:rFonts w:ascii="Arial" w:eastAsia="Times New Roman" w:hAnsi="Arial" w:cs="Arial"/>
                <w:b/>
                <w:bCs/>
                <w:sz w:val="16"/>
                <w:szCs w:val="16"/>
                <w:lang w:eastAsia="es-MX"/>
              </w:rPr>
              <w:t xml:space="preserve">. </w:t>
            </w:r>
            <w:proofErr w:type="spellStart"/>
            <w:r w:rsidRPr="00AD40BF">
              <w:rPr>
                <w:rFonts w:ascii="Arial" w:eastAsia="Times New Roman" w:hAnsi="Arial" w:cs="Arial"/>
                <w:b/>
                <w:bCs/>
                <w:sz w:val="16"/>
                <w:szCs w:val="16"/>
                <w:lang w:eastAsia="es-MX"/>
              </w:rPr>
              <w:t>típ</w:t>
            </w:r>
            <w:proofErr w:type="spellEnd"/>
            <w:r w:rsidRPr="00AD40BF">
              <w:rPr>
                <w:rFonts w:ascii="Arial" w:eastAsia="Times New Roman" w:hAnsi="Arial" w:cs="Arial"/>
                <w:b/>
                <w:bCs/>
                <w:sz w:val="16"/>
                <w:szCs w:val="16"/>
                <w:lang w:eastAsia="es-MX"/>
              </w:rPr>
              <w:t>.</w:t>
            </w:r>
          </w:p>
        </w:tc>
      </w:tr>
      <w:tr w:rsidR="00AD40BF" w:rsidRPr="00AD40BF" w14:paraId="2C29689B" w14:textId="77777777" w:rsidTr="00AD40BF">
        <w:trPr>
          <w:trHeight w:val="270"/>
        </w:trPr>
        <w:tc>
          <w:tcPr>
            <w:tcW w:w="1123" w:type="dxa"/>
            <w:vMerge w:val="restart"/>
            <w:tcBorders>
              <w:top w:val="nil"/>
              <w:left w:val="nil"/>
              <w:bottom w:val="double" w:sz="6" w:space="0" w:color="000000"/>
              <w:right w:val="nil"/>
            </w:tcBorders>
            <w:shd w:val="clear" w:color="000000" w:fill="FFFFFF"/>
            <w:vAlign w:val="center"/>
            <w:hideMark/>
          </w:tcPr>
          <w:p w14:paraId="63D78CA4" w14:textId="77777777" w:rsidR="00AD40BF" w:rsidRPr="00AD40BF" w:rsidRDefault="00AD40BF" w:rsidP="00AD40BF">
            <w:pPr>
              <w:spacing w:after="0" w:line="240" w:lineRule="auto"/>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Edad</w:t>
            </w:r>
          </w:p>
        </w:tc>
        <w:tc>
          <w:tcPr>
            <w:tcW w:w="595" w:type="dxa"/>
            <w:tcBorders>
              <w:top w:val="nil"/>
              <w:left w:val="nil"/>
              <w:bottom w:val="nil"/>
              <w:right w:val="nil"/>
            </w:tcBorders>
            <w:shd w:val="clear" w:color="000000" w:fill="FFFFFF"/>
            <w:noWrap/>
            <w:vAlign w:val="bottom"/>
            <w:hideMark/>
          </w:tcPr>
          <w:p w14:paraId="5F3B48D1"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2000</w:t>
            </w:r>
          </w:p>
        </w:tc>
        <w:tc>
          <w:tcPr>
            <w:tcW w:w="720" w:type="dxa"/>
            <w:tcBorders>
              <w:top w:val="nil"/>
              <w:left w:val="nil"/>
              <w:bottom w:val="nil"/>
              <w:right w:val="nil"/>
            </w:tcBorders>
            <w:shd w:val="clear" w:color="000000" w:fill="FFFFFF"/>
            <w:noWrap/>
            <w:vAlign w:val="bottom"/>
            <w:hideMark/>
          </w:tcPr>
          <w:p w14:paraId="0065609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31.4 </w:t>
            </w:r>
          </w:p>
        </w:tc>
        <w:tc>
          <w:tcPr>
            <w:tcW w:w="770" w:type="dxa"/>
            <w:tcBorders>
              <w:top w:val="nil"/>
              <w:left w:val="nil"/>
              <w:bottom w:val="nil"/>
              <w:right w:val="nil"/>
            </w:tcBorders>
            <w:shd w:val="clear" w:color="000000" w:fill="FFFFFF"/>
            <w:noWrap/>
            <w:vAlign w:val="bottom"/>
            <w:hideMark/>
          </w:tcPr>
          <w:p w14:paraId="4C36E1C3"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30.0 </w:t>
            </w:r>
          </w:p>
        </w:tc>
        <w:tc>
          <w:tcPr>
            <w:tcW w:w="818" w:type="dxa"/>
            <w:tcBorders>
              <w:top w:val="nil"/>
              <w:left w:val="nil"/>
              <w:bottom w:val="nil"/>
              <w:right w:val="nil"/>
            </w:tcBorders>
            <w:shd w:val="clear" w:color="000000" w:fill="FFFFFF"/>
            <w:noWrap/>
            <w:vAlign w:val="bottom"/>
            <w:hideMark/>
          </w:tcPr>
          <w:p w14:paraId="707FC11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13.9 </w:t>
            </w:r>
          </w:p>
        </w:tc>
        <w:tc>
          <w:tcPr>
            <w:tcW w:w="818" w:type="dxa"/>
            <w:tcBorders>
              <w:top w:val="nil"/>
              <w:left w:val="nil"/>
              <w:bottom w:val="nil"/>
              <w:right w:val="nil"/>
            </w:tcBorders>
            <w:shd w:val="clear" w:color="000000" w:fill="FFFFFF"/>
            <w:noWrap/>
            <w:vAlign w:val="bottom"/>
            <w:hideMark/>
          </w:tcPr>
          <w:p w14:paraId="701E9F7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15.9 </w:t>
            </w:r>
          </w:p>
        </w:tc>
        <w:tc>
          <w:tcPr>
            <w:tcW w:w="770" w:type="dxa"/>
            <w:tcBorders>
              <w:top w:val="nil"/>
              <w:left w:val="nil"/>
              <w:bottom w:val="nil"/>
              <w:right w:val="nil"/>
            </w:tcBorders>
            <w:shd w:val="clear" w:color="000000" w:fill="FFFFFF"/>
            <w:noWrap/>
            <w:vAlign w:val="bottom"/>
            <w:hideMark/>
          </w:tcPr>
          <w:p w14:paraId="61D9510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8.0 </w:t>
            </w:r>
          </w:p>
        </w:tc>
        <w:tc>
          <w:tcPr>
            <w:tcW w:w="818" w:type="dxa"/>
            <w:tcBorders>
              <w:top w:val="nil"/>
              <w:left w:val="nil"/>
              <w:bottom w:val="nil"/>
              <w:right w:val="nil"/>
            </w:tcBorders>
            <w:shd w:val="clear" w:color="000000" w:fill="FFFFFF"/>
            <w:noWrap/>
            <w:vAlign w:val="bottom"/>
            <w:hideMark/>
          </w:tcPr>
          <w:p w14:paraId="69076D69"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19.4 </w:t>
            </w:r>
          </w:p>
        </w:tc>
        <w:tc>
          <w:tcPr>
            <w:tcW w:w="720" w:type="dxa"/>
            <w:tcBorders>
              <w:top w:val="nil"/>
              <w:left w:val="nil"/>
              <w:bottom w:val="nil"/>
              <w:right w:val="nil"/>
            </w:tcBorders>
            <w:shd w:val="clear" w:color="000000" w:fill="FFFFFF"/>
            <w:noWrap/>
            <w:vAlign w:val="bottom"/>
            <w:hideMark/>
          </w:tcPr>
          <w:p w14:paraId="5CFD417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29.2 </w:t>
            </w:r>
          </w:p>
        </w:tc>
        <w:tc>
          <w:tcPr>
            <w:tcW w:w="770" w:type="dxa"/>
            <w:tcBorders>
              <w:top w:val="nil"/>
              <w:left w:val="nil"/>
              <w:bottom w:val="nil"/>
              <w:right w:val="nil"/>
            </w:tcBorders>
            <w:shd w:val="clear" w:color="000000" w:fill="FFFFFF"/>
            <w:noWrap/>
            <w:vAlign w:val="bottom"/>
            <w:hideMark/>
          </w:tcPr>
          <w:p w14:paraId="7AC64B46"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25.0 </w:t>
            </w:r>
          </w:p>
        </w:tc>
        <w:tc>
          <w:tcPr>
            <w:tcW w:w="818" w:type="dxa"/>
            <w:tcBorders>
              <w:top w:val="nil"/>
              <w:left w:val="nil"/>
              <w:bottom w:val="nil"/>
              <w:right w:val="nil"/>
            </w:tcBorders>
            <w:shd w:val="clear" w:color="000000" w:fill="FFFFFF"/>
            <w:noWrap/>
            <w:vAlign w:val="bottom"/>
            <w:hideMark/>
          </w:tcPr>
          <w:p w14:paraId="2442A7BB"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18.5 </w:t>
            </w:r>
          </w:p>
        </w:tc>
      </w:tr>
      <w:tr w:rsidR="00AD40BF" w:rsidRPr="00AD40BF" w14:paraId="2D53D81B" w14:textId="77777777" w:rsidTr="00AD40BF">
        <w:trPr>
          <w:trHeight w:val="255"/>
        </w:trPr>
        <w:tc>
          <w:tcPr>
            <w:tcW w:w="1123" w:type="dxa"/>
            <w:vMerge/>
            <w:tcBorders>
              <w:top w:val="nil"/>
              <w:left w:val="nil"/>
              <w:bottom w:val="double" w:sz="6" w:space="0" w:color="000000"/>
              <w:right w:val="nil"/>
            </w:tcBorders>
            <w:vAlign w:val="center"/>
            <w:hideMark/>
          </w:tcPr>
          <w:p w14:paraId="4B9EDA93"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nil"/>
              <w:right w:val="nil"/>
            </w:tcBorders>
            <w:shd w:val="clear" w:color="000000" w:fill="FFFFFF"/>
            <w:noWrap/>
            <w:vAlign w:val="bottom"/>
            <w:hideMark/>
          </w:tcPr>
          <w:p w14:paraId="28341232"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2010</w:t>
            </w:r>
          </w:p>
        </w:tc>
        <w:tc>
          <w:tcPr>
            <w:tcW w:w="720" w:type="dxa"/>
            <w:tcBorders>
              <w:top w:val="nil"/>
              <w:left w:val="nil"/>
              <w:bottom w:val="nil"/>
              <w:right w:val="nil"/>
            </w:tcBorders>
            <w:shd w:val="clear" w:color="000000" w:fill="FFFFFF"/>
            <w:noWrap/>
            <w:vAlign w:val="bottom"/>
            <w:hideMark/>
          </w:tcPr>
          <w:p w14:paraId="70AAC50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33.7 </w:t>
            </w:r>
          </w:p>
        </w:tc>
        <w:tc>
          <w:tcPr>
            <w:tcW w:w="770" w:type="dxa"/>
            <w:tcBorders>
              <w:top w:val="nil"/>
              <w:left w:val="nil"/>
              <w:bottom w:val="nil"/>
              <w:right w:val="nil"/>
            </w:tcBorders>
            <w:shd w:val="clear" w:color="000000" w:fill="FFFFFF"/>
            <w:noWrap/>
            <w:vAlign w:val="bottom"/>
            <w:hideMark/>
          </w:tcPr>
          <w:p w14:paraId="6254A41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32.0 </w:t>
            </w:r>
          </w:p>
        </w:tc>
        <w:tc>
          <w:tcPr>
            <w:tcW w:w="818" w:type="dxa"/>
            <w:tcBorders>
              <w:top w:val="nil"/>
              <w:left w:val="nil"/>
              <w:bottom w:val="nil"/>
              <w:right w:val="nil"/>
            </w:tcBorders>
            <w:shd w:val="clear" w:color="000000" w:fill="FFFFFF"/>
            <w:noWrap/>
            <w:vAlign w:val="bottom"/>
            <w:hideMark/>
          </w:tcPr>
          <w:p w14:paraId="6427A90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12.7 </w:t>
            </w:r>
          </w:p>
        </w:tc>
        <w:tc>
          <w:tcPr>
            <w:tcW w:w="818" w:type="dxa"/>
            <w:tcBorders>
              <w:top w:val="nil"/>
              <w:left w:val="nil"/>
              <w:bottom w:val="nil"/>
              <w:right w:val="nil"/>
            </w:tcBorders>
            <w:shd w:val="clear" w:color="000000" w:fill="FFFFFF"/>
            <w:noWrap/>
            <w:vAlign w:val="bottom"/>
            <w:hideMark/>
          </w:tcPr>
          <w:p w14:paraId="608D0F0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13.8 </w:t>
            </w:r>
          </w:p>
        </w:tc>
        <w:tc>
          <w:tcPr>
            <w:tcW w:w="770" w:type="dxa"/>
            <w:tcBorders>
              <w:top w:val="nil"/>
              <w:left w:val="nil"/>
              <w:bottom w:val="nil"/>
              <w:right w:val="nil"/>
            </w:tcBorders>
            <w:shd w:val="clear" w:color="000000" w:fill="FFFFFF"/>
            <w:noWrap/>
            <w:vAlign w:val="bottom"/>
            <w:hideMark/>
          </w:tcPr>
          <w:p w14:paraId="1E860E9B"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8.0 </w:t>
            </w:r>
          </w:p>
        </w:tc>
        <w:tc>
          <w:tcPr>
            <w:tcW w:w="818" w:type="dxa"/>
            <w:tcBorders>
              <w:top w:val="nil"/>
              <w:left w:val="nil"/>
              <w:bottom w:val="nil"/>
              <w:right w:val="nil"/>
            </w:tcBorders>
            <w:shd w:val="clear" w:color="000000" w:fill="FFFFFF"/>
            <w:noWrap/>
            <w:vAlign w:val="bottom"/>
            <w:hideMark/>
          </w:tcPr>
          <w:p w14:paraId="17EB1758"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15.9 </w:t>
            </w:r>
          </w:p>
        </w:tc>
        <w:tc>
          <w:tcPr>
            <w:tcW w:w="720" w:type="dxa"/>
            <w:tcBorders>
              <w:top w:val="nil"/>
              <w:left w:val="nil"/>
              <w:bottom w:val="nil"/>
              <w:right w:val="nil"/>
            </w:tcBorders>
            <w:shd w:val="clear" w:color="000000" w:fill="FFFFFF"/>
            <w:noWrap/>
            <w:vAlign w:val="bottom"/>
            <w:hideMark/>
          </w:tcPr>
          <w:p w14:paraId="30EB45F0"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32.1 </w:t>
            </w:r>
          </w:p>
        </w:tc>
        <w:tc>
          <w:tcPr>
            <w:tcW w:w="770" w:type="dxa"/>
            <w:tcBorders>
              <w:top w:val="nil"/>
              <w:left w:val="nil"/>
              <w:bottom w:val="nil"/>
              <w:right w:val="nil"/>
            </w:tcBorders>
            <w:shd w:val="clear" w:color="000000" w:fill="FFFFFF"/>
            <w:noWrap/>
            <w:vAlign w:val="bottom"/>
            <w:hideMark/>
          </w:tcPr>
          <w:p w14:paraId="4CE6E02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29.0 </w:t>
            </w:r>
          </w:p>
        </w:tc>
        <w:tc>
          <w:tcPr>
            <w:tcW w:w="818" w:type="dxa"/>
            <w:tcBorders>
              <w:top w:val="nil"/>
              <w:left w:val="nil"/>
              <w:bottom w:val="nil"/>
              <w:right w:val="nil"/>
            </w:tcBorders>
            <w:shd w:val="clear" w:color="000000" w:fill="FFFFFF"/>
            <w:noWrap/>
            <w:vAlign w:val="bottom"/>
            <w:hideMark/>
          </w:tcPr>
          <w:p w14:paraId="50321B73"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19.4 </w:t>
            </w:r>
          </w:p>
        </w:tc>
      </w:tr>
      <w:tr w:rsidR="00AD40BF" w:rsidRPr="00AD40BF" w14:paraId="09AAC767" w14:textId="77777777" w:rsidTr="00AD40BF">
        <w:trPr>
          <w:trHeight w:val="270"/>
        </w:trPr>
        <w:tc>
          <w:tcPr>
            <w:tcW w:w="1123" w:type="dxa"/>
            <w:vMerge/>
            <w:tcBorders>
              <w:top w:val="nil"/>
              <w:left w:val="nil"/>
              <w:bottom w:val="double" w:sz="6" w:space="0" w:color="000000"/>
              <w:right w:val="nil"/>
            </w:tcBorders>
            <w:vAlign w:val="center"/>
            <w:hideMark/>
          </w:tcPr>
          <w:p w14:paraId="049648AC"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double" w:sz="6" w:space="0" w:color="auto"/>
              <w:right w:val="nil"/>
            </w:tcBorders>
            <w:shd w:val="clear" w:color="000000" w:fill="FFFFFF"/>
            <w:noWrap/>
            <w:vAlign w:val="bottom"/>
            <w:hideMark/>
          </w:tcPr>
          <w:p w14:paraId="146E9F31"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2015</w:t>
            </w:r>
          </w:p>
        </w:tc>
        <w:tc>
          <w:tcPr>
            <w:tcW w:w="720" w:type="dxa"/>
            <w:tcBorders>
              <w:top w:val="nil"/>
              <w:left w:val="nil"/>
              <w:bottom w:val="double" w:sz="6" w:space="0" w:color="auto"/>
              <w:right w:val="nil"/>
            </w:tcBorders>
            <w:shd w:val="clear" w:color="000000" w:fill="FFFFFF"/>
            <w:noWrap/>
            <w:vAlign w:val="bottom"/>
            <w:hideMark/>
          </w:tcPr>
          <w:p w14:paraId="72DDD0D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36.3 </w:t>
            </w:r>
          </w:p>
        </w:tc>
        <w:tc>
          <w:tcPr>
            <w:tcW w:w="770" w:type="dxa"/>
            <w:tcBorders>
              <w:top w:val="nil"/>
              <w:left w:val="nil"/>
              <w:bottom w:val="double" w:sz="6" w:space="0" w:color="auto"/>
              <w:right w:val="nil"/>
            </w:tcBorders>
            <w:shd w:val="clear" w:color="000000" w:fill="FFFFFF"/>
            <w:noWrap/>
            <w:vAlign w:val="bottom"/>
            <w:hideMark/>
          </w:tcPr>
          <w:p w14:paraId="42A1071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35.0 </w:t>
            </w:r>
          </w:p>
        </w:tc>
        <w:tc>
          <w:tcPr>
            <w:tcW w:w="818" w:type="dxa"/>
            <w:tcBorders>
              <w:top w:val="nil"/>
              <w:left w:val="nil"/>
              <w:bottom w:val="double" w:sz="6" w:space="0" w:color="auto"/>
              <w:right w:val="nil"/>
            </w:tcBorders>
            <w:shd w:val="clear" w:color="000000" w:fill="FFFFFF"/>
            <w:noWrap/>
            <w:vAlign w:val="bottom"/>
            <w:hideMark/>
          </w:tcPr>
          <w:p w14:paraId="3698FDE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13.7 </w:t>
            </w:r>
          </w:p>
        </w:tc>
        <w:tc>
          <w:tcPr>
            <w:tcW w:w="818" w:type="dxa"/>
            <w:tcBorders>
              <w:top w:val="nil"/>
              <w:left w:val="nil"/>
              <w:bottom w:val="double" w:sz="6" w:space="0" w:color="auto"/>
              <w:right w:val="nil"/>
            </w:tcBorders>
            <w:shd w:val="clear" w:color="000000" w:fill="FFFFFF"/>
            <w:noWrap/>
            <w:vAlign w:val="bottom"/>
            <w:hideMark/>
          </w:tcPr>
          <w:p w14:paraId="265161E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15.4 </w:t>
            </w:r>
          </w:p>
        </w:tc>
        <w:tc>
          <w:tcPr>
            <w:tcW w:w="770" w:type="dxa"/>
            <w:tcBorders>
              <w:top w:val="nil"/>
              <w:left w:val="nil"/>
              <w:bottom w:val="double" w:sz="6" w:space="0" w:color="auto"/>
              <w:right w:val="nil"/>
            </w:tcBorders>
            <w:shd w:val="clear" w:color="000000" w:fill="FFFFFF"/>
            <w:noWrap/>
            <w:vAlign w:val="bottom"/>
            <w:hideMark/>
          </w:tcPr>
          <w:p w14:paraId="1B24E236"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11.0 </w:t>
            </w:r>
          </w:p>
        </w:tc>
        <w:tc>
          <w:tcPr>
            <w:tcW w:w="818" w:type="dxa"/>
            <w:tcBorders>
              <w:top w:val="nil"/>
              <w:left w:val="nil"/>
              <w:bottom w:val="double" w:sz="6" w:space="0" w:color="auto"/>
              <w:right w:val="nil"/>
            </w:tcBorders>
            <w:shd w:val="clear" w:color="000000" w:fill="FFFFFF"/>
            <w:noWrap/>
            <w:vAlign w:val="bottom"/>
            <w:hideMark/>
          </w:tcPr>
          <w:p w14:paraId="7106F38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15.4 </w:t>
            </w:r>
          </w:p>
        </w:tc>
        <w:tc>
          <w:tcPr>
            <w:tcW w:w="720" w:type="dxa"/>
            <w:tcBorders>
              <w:top w:val="nil"/>
              <w:left w:val="nil"/>
              <w:bottom w:val="double" w:sz="6" w:space="0" w:color="auto"/>
              <w:right w:val="nil"/>
            </w:tcBorders>
            <w:shd w:val="clear" w:color="000000" w:fill="FFFFFF"/>
            <w:noWrap/>
            <w:vAlign w:val="bottom"/>
            <w:hideMark/>
          </w:tcPr>
          <w:p w14:paraId="32BA626F"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33.3 </w:t>
            </w:r>
          </w:p>
        </w:tc>
        <w:tc>
          <w:tcPr>
            <w:tcW w:w="770" w:type="dxa"/>
            <w:tcBorders>
              <w:top w:val="nil"/>
              <w:left w:val="nil"/>
              <w:bottom w:val="double" w:sz="6" w:space="0" w:color="auto"/>
              <w:right w:val="nil"/>
            </w:tcBorders>
            <w:shd w:val="clear" w:color="000000" w:fill="FFFFFF"/>
            <w:noWrap/>
            <w:vAlign w:val="bottom"/>
            <w:hideMark/>
          </w:tcPr>
          <w:p w14:paraId="335EF9B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30.0 </w:t>
            </w:r>
          </w:p>
        </w:tc>
        <w:tc>
          <w:tcPr>
            <w:tcW w:w="818" w:type="dxa"/>
            <w:tcBorders>
              <w:top w:val="nil"/>
              <w:left w:val="nil"/>
              <w:bottom w:val="double" w:sz="6" w:space="0" w:color="auto"/>
              <w:right w:val="nil"/>
            </w:tcBorders>
            <w:shd w:val="clear" w:color="000000" w:fill="FFFFFF"/>
            <w:noWrap/>
            <w:vAlign w:val="bottom"/>
            <w:hideMark/>
          </w:tcPr>
          <w:p w14:paraId="5D9DCC1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19.6 </w:t>
            </w:r>
          </w:p>
        </w:tc>
      </w:tr>
      <w:tr w:rsidR="00AD40BF" w:rsidRPr="00AD40BF" w14:paraId="132A4201" w14:textId="77777777" w:rsidTr="00AD40BF">
        <w:trPr>
          <w:trHeight w:val="405"/>
        </w:trPr>
        <w:tc>
          <w:tcPr>
            <w:tcW w:w="1123" w:type="dxa"/>
            <w:vMerge w:val="restart"/>
            <w:tcBorders>
              <w:top w:val="nil"/>
              <w:left w:val="nil"/>
              <w:bottom w:val="double" w:sz="6" w:space="0" w:color="000000"/>
              <w:right w:val="nil"/>
            </w:tcBorders>
            <w:shd w:val="clear" w:color="000000" w:fill="FFFFFF"/>
            <w:vAlign w:val="center"/>
            <w:hideMark/>
          </w:tcPr>
          <w:p w14:paraId="77B06D5E" w14:textId="77777777" w:rsidR="00AD40BF" w:rsidRPr="00AD40BF" w:rsidRDefault="00AD40BF" w:rsidP="00AD40BF">
            <w:pPr>
              <w:spacing w:after="0" w:line="240" w:lineRule="auto"/>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Escolaridad acumulada (años aprobados acumulados)</w:t>
            </w:r>
          </w:p>
        </w:tc>
        <w:tc>
          <w:tcPr>
            <w:tcW w:w="595" w:type="dxa"/>
            <w:tcBorders>
              <w:top w:val="nil"/>
              <w:left w:val="nil"/>
              <w:bottom w:val="nil"/>
              <w:right w:val="nil"/>
            </w:tcBorders>
            <w:shd w:val="clear" w:color="000000" w:fill="FFFFFF"/>
            <w:noWrap/>
            <w:vAlign w:val="bottom"/>
            <w:hideMark/>
          </w:tcPr>
          <w:p w14:paraId="46609CC5"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2000</w:t>
            </w:r>
          </w:p>
        </w:tc>
        <w:tc>
          <w:tcPr>
            <w:tcW w:w="720" w:type="dxa"/>
            <w:tcBorders>
              <w:top w:val="nil"/>
              <w:left w:val="nil"/>
              <w:bottom w:val="nil"/>
              <w:right w:val="nil"/>
            </w:tcBorders>
            <w:shd w:val="clear" w:color="000000" w:fill="FFFFFF"/>
            <w:noWrap/>
            <w:vAlign w:val="bottom"/>
            <w:hideMark/>
          </w:tcPr>
          <w:p w14:paraId="036B018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7.3 </w:t>
            </w:r>
          </w:p>
        </w:tc>
        <w:tc>
          <w:tcPr>
            <w:tcW w:w="770" w:type="dxa"/>
            <w:tcBorders>
              <w:top w:val="nil"/>
              <w:left w:val="nil"/>
              <w:bottom w:val="nil"/>
              <w:right w:val="nil"/>
            </w:tcBorders>
            <w:shd w:val="clear" w:color="000000" w:fill="FFFFFF"/>
            <w:noWrap/>
            <w:vAlign w:val="bottom"/>
            <w:hideMark/>
          </w:tcPr>
          <w:p w14:paraId="3B25F786"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7.0 </w:t>
            </w:r>
          </w:p>
        </w:tc>
        <w:tc>
          <w:tcPr>
            <w:tcW w:w="818" w:type="dxa"/>
            <w:tcBorders>
              <w:top w:val="nil"/>
              <w:left w:val="nil"/>
              <w:bottom w:val="nil"/>
              <w:right w:val="nil"/>
            </w:tcBorders>
            <w:shd w:val="clear" w:color="000000" w:fill="FFFFFF"/>
            <w:noWrap/>
            <w:vAlign w:val="bottom"/>
            <w:hideMark/>
          </w:tcPr>
          <w:p w14:paraId="3A95AFF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4.1 </w:t>
            </w:r>
          </w:p>
        </w:tc>
        <w:tc>
          <w:tcPr>
            <w:tcW w:w="818" w:type="dxa"/>
            <w:tcBorders>
              <w:top w:val="nil"/>
              <w:left w:val="nil"/>
              <w:bottom w:val="nil"/>
              <w:right w:val="nil"/>
            </w:tcBorders>
            <w:shd w:val="clear" w:color="000000" w:fill="FFFFFF"/>
            <w:noWrap/>
            <w:vAlign w:val="bottom"/>
            <w:hideMark/>
          </w:tcPr>
          <w:p w14:paraId="1B8C59D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6.0 </w:t>
            </w:r>
          </w:p>
        </w:tc>
        <w:tc>
          <w:tcPr>
            <w:tcW w:w="770" w:type="dxa"/>
            <w:tcBorders>
              <w:top w:val="nil"/>
              <w:left w:val="nil"/>
              <w:bottom w:val="nil"/>
              <w:right w:val="nil"/>
            </w:tcBorders>
            <w:shd w:val="clear" w:color="000000" w:fill="FFFFFF"/>
            <w:noWrap/>
            <w:vAlign w:val="bottom"/>
            <w:hideMark/>
          </w:tcPr>
          <w:p w14:paraId="726069E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5.0 </w:t>
            </w:r>
          </w:p>
        </w:tc>
        <w:tc>
          <w:tcPr>
            <w:tcW w:w="818" w:type="dxa"/>
            <w:tcBorders>
              <w:top w:val="nil"/>
              <w:left w:val="nil"/>
              <w:bottom w:val="nil"/>
              <w:right w:val="nil"/>
            </w:tcBorders>
            <w:shd w:val="clear" w:color="000000" w:fill="FFFFFF"/>
            <w:noWrap/>
            <w:vAlign w:val="bottom"/>
            <w:hideMark/>
          </w:tcPr>
          <w:p w14:paraId="77CB64A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5.4 </w:t>
            </w:r>
          </w:p>
        </w:tc>
        <w:tc>
          <w:tcPr>
            <w:tcW w:w="720" w:type="dxa"/>
            <w:tcBorders>
              <w:top w:val="nil"/>
              <w:left w:val="nil"/>
              <w:bottom w:val="nil"/>
              <w:right w:val="nil"/>
            </w:tcBorders>
            <w:shd w:val="clear" w:color="000000" w:fill="FFFFFF"/>
            <w:noWrap/>
            <w:vAlign w:val="bottom"/>
            <w:hideMark/>
          </w:tcPr>
          <w:p w14:paraId="50E0912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6.4 </w:t>
            </w:r>
          </w:p>
        </w:tc>
        <w:tc>
          <w:tcPr>
            <w:tcW w:w="770" w:type="dxa"/>
            <w:tcBorders>
              <w:top w:val="nil"/>
              <w:left w:val="nil"/>
              <w:bottom w:val="nil"/>
              <w:right w:val="nil"/>
            </w:tcBorders>
            <w:shd w:val="clear" w:color="000000" w:fill="FFFFFF"/>
            <w:noWrap/>
            <w:vAlign w:val="bottom"/>
            <w:hideMark/>
          </w:tcPr>
          <w:p w14:paraId="522DCAE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6.0 </w:t>
            </w:r>
          </w:p>
        </w:tc>
        <w:tc>
          <w:tcPr>
            <w:tcW w:w="818" w:type="dxa"/>
            <w:tcBorders>
              <w:top w:val="nil"/>
              <w:left w:val="nil"/>
              <w:bottom w:val="nil"/>
              <w:right w:val="nil"/>
            </w:tcBorders>
            <w:shd w:val="clear" w:color="000000" w:fill="FFFFFF"/>
            <w:noWrap/>
            <w:vAlign w:val="bottom"/>
            <w:hideMark/>
          </w:tcPr>
          <w:p w14:paraId="41CDE72B"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4.6 </w:t>
            </w:r>
          </w:p>
        </w:tc>
      </w:tr>
      <w:tr w:rsidR="00AD40BF" w:rsidRPr="00AD40BF" w14:paraId="09582468" w14:textId="77777777" w:rsidTr="00AD40BF">
        <w:trPr>
          <w:trHeight w:val="405"/>
        </w:trPr>
        <w:tc>
          <w:tcPr>
            <w:tcW w:w="1123" w:type="dxa"/>
            <w:vMerge/>
            <w:tcBorders>
              <w:top w:val="nil"/>
              <w:left w:val="nil"/>
              <w:bottom w:val="double" w:sz="6" w:space="0" w:color="000000"/>
              <w:right w:val="nil"/>
            </w:tcBorders>
            <w:vAlign w:val="center"/>
            <w:hideMark/>
          </w:tcPr>
          <w:p w14:paraId="5732CA9F"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nil"/>
              <w:right w:val="nil"/>
            </w:tcBorders>
            <w:shd w:val="clear" w:color="000000" w:fill="FFFFFF"/>
            <w:noWrap/>
            <w:vAlign w:val="bottom"/>
            <w:hideMark/>
          </w:tcPr>
          <w:p w14:paraId="529420AF"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2010</w:t>
            </w:r>
          </w:p>
        </w:tc>
        <w:tc>
          <w:tcPr>
            <w:tcW w:w="720" w:type="dxa"/>
            <w:tcBorders>
              <w:top w:val="nil"/>
              <w:left w:val="nil"/>
              <w:bottom w:val="nil"/>
              <w:right w:val="nil"/>
            </w:tcBorders>
            <w:shd w:val="clear" w:color="000000" w:fill="FFFFFF"/>
            <w:noWrap/>
            <w:vAlign w:val="bottom"/>
            <w:hideMark/>
          </w:tcPr>
          <w:p w14:paraId="17B6BB2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8.7 </w:t>
            </w:r>
          </w:p>
        </w:tc>
        <w:tc>
          <w:tcPr>
            <w:tcW w:w="770" w:type="dxa"/>
            <w:tcBorders>
              <w:top w:val="nil"/>
              <w:left w:val="nil"/>
              <w:bottom w:val="nil"/>
              <w:right w:val="nil"/>
            </w:tcBorders>
            <w:shd w:val="clear" w:color="000000" w:fill="FFFFFF"/>
            <w:noWrap/>
            <w:vAlign w:val="bottom"/>
            <w:hideMark/>
          </w:tcPr>
          <w:p w14:paraId="5835CDD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9.0 </w:t>
            </w:r>
          </w:p>
        </w:tc>
        <w:tc>
          <w:tcPr>
            <w:tcW w:w="818" w:type="dxa"/>
            <w:tcBorders>
              <w:top w:val="nil"/>
              <w:left w:val="nil"/>
              <w:bottom w:val="nil"/>
              <w:right w:val="nil"/>
            </w:tcBorders>
            <w:shd w:val="clear" w:color="000000" w:fill="FFFFFF"/>
            <w:noWrap/>
            <w:vAlign w:val="bottom"/>
            <w:hideMark/>
          </w:tcPr>
          <w:p w14:paraId="232747D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8.6 </w:t>
            </w:r>
          </w:p>
        </w:tc>
        <w:tc>
          <w:tcPr>
            <w:tcW w:w="818" w:type="dxa"/>
            <w:tcBorders>
              <w:top w:val="nil"/>
              <w:left w:val="nil"/>
              <w:bottom w:val="nil"/>
              <w:right w:val="nil"/>
            </w:tcBorders>
            <w:shd w:val="clear" w:color="000000" w:fill="FFFFFF"/>
            <w:noWrap/>
            <w:vAlign w:val="bottom"/>
            <w:hideMark/>
          </w:tcPr>
          <w:p w14:paraId="34FBD18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8.1 </w:t>
            </w:r>
          </w:p>
        </w:tc>
        <w:tc>
          <w:tcPr>
            <w:tcW w:w="770" w:type="dxa"/>
            <w:tcBorders>
              <w:top w:val="nil"/>
              <w:left w:val="nil"/>
              <w:bottom w:val="nil"/>
              <w:right w:val="nil"/>
            </w:tcBorders>
            <w:shd w:val="clear" w:color="000000" w:fill="FFFFFF"/>
            <w:noWrap/>
            <w:vAlign w:val="bottom"/>
            <w:hideMark/>
          </w:tcPr>
          <w:p w14:paraId="3BA3153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3.0 </w:t>
            </w:r>
          </w:p>
        </w:tc>
        <w:tc>
          <w:tcPr>
            <w:tcW w:w="818" w:type="dxa"/>
            <w:tcBorders>
              <w:top w:val="nil"/>
              <w:left w:val="nil"/>
              <w:bottom w:val="nil"/>
              <w:right w:val="nil"/>
            </w:tcBorders>
            <w:shd w:val="clear" w:color="000000" w:fill="FFFFFF"/>
            <w:noWrap/>
            <w:vAlign w:val="bottom"/>
            <w:hideMark/>
          </w:tcPr>
          <w:p w14:paraId="7A72D17F"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17.6 </w:t>
            </w:r>
          </w:p>
        </w:tc>
        <w:tc>
          <w:tcPr>
            <w:tcW w:w="720" w:type="dxa"/>
            <w:tcBorders>
              <w:top w:val="nil"/>
              <w:left w:val="nil"/>
              <w:bottom w:val="nil"/>
              <w:right w:val="nil"/>
            </w:tcBorders>
            <w:shd w:val="clear" w:color="000000" w:fill="FFFFFF"/>
            <w:noWrap/>
            <w:vAlign w:val="bottom"/>
            <w:hideMark/>
          </w:tcPr>
          <w:p w14:paraId="21DBFD8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8.2 </w:t>
            </w:r>
          </w:p>
        </w:tc>
        <w:tc>
          <w:tcPr>
            <w:tcW w:w="770" w:type="dxa"/>
            <w:tcBorders>
              <w:top w:val="nil"/>
              <w:left w:val="nil"/>
              <w:bottom w:val="nil"/>
              <w:right w:val="nil"/>
            </w:tcBorders>
            <w:shd w:val="clear" w:color="000000" w:fill="FFFFFF"/>
            <w:noWrap/>
            <w:vAlign w:val="bottom"/>
            <w:hideMark/>
          </w:tcPr>
          <w:p w14:paraId="0F992E2F"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8.0 </w:t>
            </w:r>
          </w:p>
        </w:tc>
        <w:tc>
          <w:tcPr>
            <w:tcW w:w="818" w:type="dxa"/>
            <w:tcBorders>
              <w:top w:val="nil"/>
              <w:left w:val="nil"/>
              <w:bottom w:val="nil"/>
              <w:right w:val="nil"/>
            </w:tcBorders>
            <w:shd w:val="clear" w:color="000000" w:fill="FFFFFF"/>
            <w:noWrap/>
            <w:vAlign w:val="bottom"/>
            <w:hideMark/>
          </w:tcPr>
          <w:p w14:paraId="028D7F4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9.8 </w:t>
            </w:r>
          </w:p>
        </w:tc>
      </w:tr>
      <w:tr w:rsidR="00AD40BF" w:rsidRPr="00AD40BF" w14:paraId="26AC00CA" w14:textId="77777777" w:rsidTr="00AD40BF">
        <w:trPr>
          <w:trHeight w:val="405"/>
        </w:trPr>
        <w:tc>
          <w:tcPr>
            <w:tcW w:w="1123" w:type="dxa"/>
            <w:vMerge/>
            <w:tcBorders>
              <w:top w:val="nil"/>
              <w:left w:val="nil"/>
              <w:bottom w:val="double" w:sz="6" w:space="0" w:color="000000"/>
              <w:right w:val="nil"/>
            </w:tcBorders>
            <w:vAlign w:val="center"/>
            <w:hideMark/>
          </w:tcPr>
          <w:p w14:paraId="15794EF3"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double" w:sz="6" w:space="0" w:color="auto"/>
              <w:right w:val="nil"/>
            </w:tcBorders>
            <w:shd w:val="clear" w:color="000000" w:fill="FFFFFF"/>
            <w:noWrap/>
            <w:vAlign w:val="bottom"/>
            <w:hideMark/>
          </w:tcPr>
          <w:p w14:paraId="69D68E57"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2015</w:t>
            </w:r>
          </w:p>
        </w:tc>
        <w:tc>
          <w:tcPr>
            <w:tcW w:w="720" w:type="dxa"/>
            <w:tcBorders>
              <w:top w:val="nil"/>
              <w:left w:val="nil"/>
              <w:bottom w:val="double" w:sz="6" w:space="0" w:color="auto"/>
              <w:right w:val="nil"/>
            </w:tcBorders>
            <w:shd w:val="clear" w:color="000000" w:fill="FFFFFF"/>
            <w:noWrap/>
            <w:vAlign w:val="bottom"/>
            <w:hideMark/>
          </w:tcPr>
          <w:p w14:paraId="671F9AE6"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8.5 </w:t>
            </w:r>
          </w:p>
        </w:tc>
        <w:tc>
          <w:tcPr>
            <w:tcW w:w="770" w:type="dxa"/>
            <w:tcBorders>
              <w:top w:val="nil"/>
              <w:left w:val="nil"/>
              <w:bottom w:val="double" w:sz="6" w:space="0" w:color="auto"/>
              <w:right w:val="nil"/>
            </w:tcBorders>
            <w:shd w:val="clear" w:color="000000" w:fill="FFFFFF"/>
            <w:noWrap/>
            <w:vAlign w:val="bottom"/>
            <w:hideMark/>
          </w:tcPr>
          <w:p w14:paraId="4286524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9.0 </w:t>
            </w:r>
          </w:p>
        </w:tc>
        <w:tc>
          <w:tcPr>
            <w:tcW w:w="818" w:type="dxa"/>
            <w:tcBorders>
              <w:top w:val="nil"/>
              <w:left w:val="nil"/>
              <w:bottom w:val="double" w:sz="6" w:space="0" w:color="auto"/>
              <w:right w:val="nil"/>
            </w:tcBorders>
            <w:shd w:val="clear" w:color="000000" w:fill="FFFFFF"/>
            <w:noWrap/>
            <w:vAlign w:val="bottom"/>
            <w:hideMark/>
          </w:tcPr>
          <w:p w14:paraId="361051A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3.8 </w:t>
            </w:r>
          </w:p>
        </w:tc>
        <w:tc>
          <w:tcPr>
            <w:tcW w:w="818" w:type="dxa"/>
            <w:tcBorders>
              <w:top w:val="nil"/>
              <w:left w:val="nil"/>
              <w:bottom w:val="double" w:sz="6" w:space="0" w:color="auto"/>
              <w:right w:val="nil"/>
            </w:tcBorders>
            <w:shd w:val="clear" w:color="000000" w:fill="FFFFFF"/>
            <w:noWrap/>
            <w:vAlign w:val="bottom"/>
            <w:hideMark/>
          </w:tcPr>
          <w:p w14:paraId="2B18586B"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5.9 </w:t>
            </w:r>
          </w:p>
        </w:tc>
        <w:tc>
          <w:tcPr>
            <w:tcW w:w="770" w:type="dxa"/>
            <w:tcBorders>
              <w:top w:val="nil"/>
              <w:left w:val="nil"/>
              <w:bottom w:val="double" w:sz="6" w:space="0" w:color="auto"/>
              <w:right w:val="nil"/>
            </w:tcBorders>
            <w:shd w:val="clear" w:color="000000" w:fill="FFFFFF"/>
            <w:noWrap/>
            <w:vAlign w:val="bottom"/>
            <w:hideMark/>
          </w:tcPr>
          <w:p w14:paraId="6004CCE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5.0 </w:t>
            </w:r>
          </w:p>
        </w:tc>
        <w:tc>
          <w:tcPr>
            <w:tcW w:w="818" w:type="dxa"/>
            <w:tcBorders>
              <w:top w:val="nil"/>
              <w:left w:val="nil"/>
              <w:bottom w:val="double" w:sz="6" w:space="0" w:color="auto"/>
              <w:right w:val="nil"/>
            </w:tcBorders>
            <w:shd w:val="clear" w:color="000000" w:fill="FFFFFF"/>
            <w:noWrap/>
            <w:vAlign w:val="bottom"/>
            <w:hideMark/>
          </w:tcPr>
          <w:p w14:paraId="33366196"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5.1 </w:t>
            </w:r>
          </w:p>
        </w:tc>
        <w:tc>
          <w:tcPr>
            <w:tcW w:w="720" w:type="dxa"/>
            <w:tcBorders>
              <w:top w:val="nil"/>
              <w:left w:val="nil"/>
              <w:bottom w:val="double" w:sz="6" w:space="0" w:color="auto"/>
              <w:right w:val="nil"/>
            </w:tcBorders>
            <w:shd w:val="clear" w:color="000000" w:fill="FFFFFF"/>
            <w:noWrap/>
            <w:vAlign w:val="bottom"/>
            <w:hideMark/>
          </w:tcPr>
          <w:p w14:paraId="484A87E4"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8.0 </w:t>
            </w:r>
          </w:p>
        </w:tc>
        <w:tc>
          <w:tcPr>
            <w:tcW w:w="770" w:type="dxa"/>
            <w:tcBorders>
              <w:top w:val="nil"/>
              <w:left w:val="nil"/>
              <w:bottom w:val="double" w:sz="6" w:space="0" w:color="auto"/>
              <w:right w:val="nil"/>
            </w:tcBorders>
            <w:shd w:val="clear" w:color="000000" w:fill="FFFFFF"/>
            <w:noWrap/>
            <w:vAlign w:val="bottom"/>
            <w:hideMark/>
          </w:tcPr>
          <w:p w14:paraId="6E4C0BD8"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9.0 </w:t>
            </w:r>
          </w:p>
        </w:tc>
        <w:tc>
          <w:tcPr>
            <w:tcW w:w="818" w:type="dxa"/>
            <w:tcBorders>
              <w:top w:val="nil"/>
              <w:left w:val="nil"/>
              <w:bottom w:val="double" w:sz="6" w:space="0" w:color="auto"/>
              <w:right w:val="nil"/>
            </w:tcBorders>
            <w:shd w:val="clear" w:color="000000" w:fill="FFFFFF"/>
            <w:noWrap/>
            <w:vAlign w:val="bottom"/>
            <w:hideMark/>
          </w:tcPr>
          <w:p w14:paraId="766F4B63"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4.8 </w:t>
            </w:r>
          </w:p>
        </w:tc>
      </w:tr>
      <w:tr w:rsidR="00AD40BF" w:rsidRPr="00AD40BF" w14:paraId="213870E9" w14:textId="77777777" w:rsidTr="00AD40BF">
        <w:trPr>
          <w:trHeight w:val="405"/>
        </w:trPr>
        <w:tc>
          <w:tcPr>
            <w:tcW w:w="1123" w:type="dxa"/>
            <w:vMerge w:val="restart"/>
            <w:tcBorders>
              <w:top w:val="nil"/>
              <w:left w:val="nil"/>
              <w:bottom w:val="double" w:sz="6" w:space="0" w:color="000000"/>
              <w:right w:val="nil"/>
            </w:tcBorders>
            <w:shd w:val="clear" w:color="000000" w:fill="FFFFFF"/>
            <w:vAlign w:val="center"/>
            <w:hideMark/>
          </w:tcPr>
          <w:p w14:paraId="2FA7078C" w14:textId="77777777" w:rsidR="00AD40BF" w:rsidRPr="00AD40BF" w:rsidRDefault="00AD40BF" w:rsidP="00AD40BF">
            <w:pPr>
              <w:spacing w:after="0" w:line="240" w:lineRule="auto"/>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Número de prestaciones laborales</w:t>
            </w:r>
          </w:p>
        </w:tc>
        <w:tc>
          <w:tcPr>
            <w:tcW w:w="595" w:type="dxa"/>
            <w:tcBorders>
              <w:top w:val="nil"/>
              <w:left w:val="nil"/>
              <w:bottom w:val="nil"/>
              <w:right w:val="nil"/>
            </w:tcBorders>
            <w:shd w:val="clear" w:color="000000" w:fill="FFFFFF"/>
            <w:noWrap/>
            <w:vAlign w:val="bottom"/>
            <w:hideMark/>
          </w:tcPr>
          <w:p w14:paraId="35D9483F"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2000</w:t>
            </w:r>
          </w:p>
        </w:tc>
        <w:tc>
          <w:tcPr>
            <w:tcW w:w="720" w:type="dxa"/>
            <w:tcBorders>
              <w:top w:val="nil"/>
              <w:left w:val="nil"/>
              <w:bottom w:val="nil"/>
              <w:right w:val="nil"/>
            </w:tcBorders>
            <w:shd w:val="clear" w:color="000000" w:fill="FFFFFF"/>
            <w:noWrap/>
            <w:vAlign w:val="bottom"/>
            <w:hideMark/>
          </w:tcPr>
          <w:p w14:paraId="6BB5702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1.7 </w:t>
            </w:r>
          </w:p>
        </w:tc>
        <w:tc>
          <w:tcPr>
            <w:tcW w:w="770" w:type="dxa"/>
            <w:tcBorders>
              <w:top w:val="nil"/>
              <w:left w:val="nil"/>
              <w:bottom w:val="nil"/>
              <w:right w:val="nil"/>
            </w:tcBorders>
            <w:shd w:val="clear" w:color="000000" w:fill="FFFFFF"/>
            <w:noWrap/>
            <w:vAlign w:val="bottom"/>
            <w:hideMark/>
          </w:tcPr>
          <w:p w14:paraId="2A9D5FA4"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1.0 </w:t>
            </w:r>
          </w:p>
        </w:tc>
        <w:tc>
          <w:tcPr>
            <w:tcW w:w="818" w:type="dxa"/>
            <w:tcBorders>
              <w:top w:val="nil"/>
              <w:left w:val="nil"/>
              <w:bottom w:val="nil"/>
              <w:right w:val="nil"/>
            </w:tcBorders>
            <w:shd w:val="clear" w:color="000000" w:fill="FFFFFF"/>
            <w:noWrap/>
            <w:vAlign w:val="bottom"/>
            <w:hideMark/>
          </w:tcPr>
          <w:p w14:paraId="726AE2A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1.9 </w:t>
            </w:r>
          </w:p>
        </w:tc>
        <w:tc>
          <w:tcPr>
            <w:tcW w:w="818" w:type="dxa"/>
            <w:tcBorders>
              <w:top w:val="nil"/>
              <w:left w:val="nil"/>
              <w:bottom w:val="nil"/>
              <w:right w:val="nil"/>
            </w:tcBorders>
            <w:shd w:val="clear" w:color="000000" w:fill="FFFFFF"/>
            <w:noWrap/>
            <w:vAlign w:val="bottom"/>
            <w:hideMark/>
          </w:tcPr>
          <w:p w14:paraId="09852258"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2.1 </w:t>
            </w:r>
          </w:p>
        </w:tc>
        <w:tc>
          <w:tcPr>
            <w:tcW w:w="770" w:type="dxa"/>
            <w:tcBorders>
              <w:top w:val="nil"/>
              <w:left w:val="nil"/>
              <w:bottom w:val="nil"/>
              <w:right w:val="nil"/>
            </w:tcBorders>
            <w:shd w:val="clear" w:color="000000" w:fill="FFFFFF"/>
            <w:noWrap/>
            <w:vAlign w:val="bottom"/>
            <w:hideMark/>
          </w:tcPr>
          <w:p w14:paraId="5383342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2.0 </w:t>
            </w:r>
          </w:p>
        </w:tc>
        <w:tc>
          <w:tcPr>
            <w:tcW w:w="818" w:type="dxa"/>
            <w:tcBorders>
              <w:top w:val="nil"/>
              <w:left w:val="nil"/>
              <w:bottom w:val="nil"/>
              <w:right w:val="nil"/>
            </w:tcBorders>
            <w:shd w:val="clear" w:color="000000" w:fill="FFFFFF"/>
            <w:noWrap/>
            <w:vAlign w:val="bottom"/>
            <w:hideMark/>
          </w:tcPr>
          <w:p w14:paraId="6B74A01F"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1.9 </w:t>
            </w:r>
          </w:p>
        </w:tc>
        <w:tc>
          <w:tcPr>
            <w:tcW w:w="720" w:type="dxa"/>
            <w:tcBorders>
              <w:top w:val="nil"/>
              <w:left w:val="nil"/>
              <w:bottom w:val="nil"/>
              <w:right w:val="nil"/>
            </w:tcBorders>
            <w:shd w:val="clear" w:color="000000" w:fill="FFFFFF"/>
            <w:noWrap/>
            <w:vAlign w:val="bottom"/>
            <w:hideMark/>
          </w:tcPr>
          <w:p w14:paraId="742FAAF0"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2.4 </w:t>
            </w:r>
          </w:p>
        </w:tc>
        <w:tc>
          <w:tcPr>
            <w:tcW w:w="770" w:type="dxa"/>
            <w:tcBorders>
              <w:top w:val="nil"/>
              <w:left w:val="nil"/>
              <w:bottom w:val="nil"/>
              <w:right w:val="nil"/>
            </w:tcBorders>
            <w:shd w:val="clear" w:color="000000" w:fill="FFFFFF"/>
            <w:noWrap/>
            <w:vAlign w:val="bottom"/>
            <w:hideMark/>
          </w:tcPr>
          <w:p w14:paraId="63BDA5C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3.0 </w:t>
            </w:r>
          </w:p>
        </w:tc>
        <w:tc>
          <w:tcPr>
            <w:tcW w:w="818" w:type="dxa"/>
            <w:tcBorders>
              <w:top w:val="nil"/>
              <w:left w:val="nil"/>
              <w:bottom w:val="nil"/>
              <w:right w:val="nil"/>
            </w:tcBorders>
            <w:shd w:val="clear" w:color="000000" w:fill="FFFFFF"/>
            <w:noWrap/>
            <w:vAlign w:val="bottom"/>
            <w:hideMark/>
          </w:tcPr>
          <w:p w14:paraId="7D8CE4F4"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2.0 </w:t>
            </w:r>
          </w:p>
        </w:tc>
      </w:tr>
      <w:tr w:rsidR="00AD40BF" w:rsidRPr="00AD40BF" w14:paraId="557A7F9C" w14:textId="77777777" w:rsidTr="00AD40BF">
        <w:trPr>
          <w:trHeight w:val="405"/>
        </w:trPr>
        <w:tc>
          <w:tcPr>
            <w:tcW w:w="1123" w:type="dxa"/>
            <w:vMerge/>
            <w:tcBorders>
              <w:top w:val="nil"/>
              <w:left w:val="nil"/>
              <w:bottom w:val="double" w:sz="6" w:space="0" w:color="000000"/>
              <w:right w:val="nil"/>
            </w:tcBorders>
            <w:vAlign w:val="center"/>
            <w:hideMark/>
          </w:tcPr>
          <w:p w14:paraId="0D504F53"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nil"/>
              <w:right w:val="nil"/>
            </w:tcBorders>
            <w:shd w:val="clear" w:color="000000" w:fill="FFFFFF"/>
            <w:noWrap/>
            <w:vAlign w:val="bottom"/>
            <w:hideMark/>
          </w:tcPr>
          <w:p w14:paraId="5CFFCADD"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2010</w:t>
            </w:r>
          </w:p>
        </w:tc>
        <w:tc>
          <w:tcPr>
            <w:tcW w:w="720" w:type="dxa"/>
            <w:tcBorders>
              <w:top w:val="nil"/>
              <w:left w:val="nil"/>
              <w:bottom w:val="nil"/>
              <w:right w:val="nil"/>
            </w:tcBorders>
            <w:shd w:val="clear" w:color="000000" w:fill="FFFFFF"/>
            <w:noWrap/>
            <w:vAlign w:val="bottom"/>
            <w:hideMark/>
          </w:tcPr>
          <w:p w14:paraId="5C16647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1.4 </w:t>
            </w:r>
          </w:p>
        </w:tc>
        <w:tc>
          <w:tcPr>
            <w:tcW w:w="770" w:type="dxa"/>
            <w:tcBorders>
              <w:top w:val="nil"/>
              <w:left w:val="nil"/>
              <w:bottom w:val="nil"/>
              <w:right w:val="nil"/>
            </w:tcBorders>
            <w:shd w:val="clear" w:color="000000" w:fill="FFFFFF"/>
            <w:noWrap/>
            <w:vAlign w:val="bottom"/>
            <w:hideMark/>
          </w:tcPr>
          <w:p w14:paraId="6218FD73"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   </w:t>
            </w:r>
          </w:p>
        </w:tc>
        <w:tc>
          <w:tcPr>
            <w:tcW w:w="818" w:type="dxa"/>
            <w:tcBorders>
              <w:top w:val="nil"/>
              <w:left w:val="nil"/>
              <w:bottom w:val="nil"/>
              <w:right w:val="nil"/>
            </w:tcBorders>
            <w:shd w:val="clear" w:color="000000" w:fill="FFFFFF"/>
            <w:noWrap/>
            <w:vAlign w:val="bottom"/>
            <w:hideMark/>
          </w:tcPr>
          <w:p w14:paraId="73C004E8"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2.1 </w:t>
            </w:r>
          </w:p>
        </w:tc>
        <w:tc>
          <w:tcPr>
            <w:tcW w:w="818" w:type="dxa"/>
            <w:tcBorders>
              <w:top w:val="nil"/>
              <w:left w:val="nil"/>
              <w:bottom w:val="nil"/>
              <w:right w:val="nil"/>
            </w:tcBorders>
            <w:shd w:val="clear" w:color="000000" w:fill="FFFFFF"/>
            <w:noWrap/>
            <w:vAlign w:val="bottom"/>
            <w:hideMark/>
          </w:tcPr>
          <w:p w14:paraId="28893A3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1.7 </w:t>
            </w:r>
          </w:p>
        </w:tc>
        <w:tc>
          <w:tcPr>
            <w:tcW w:w="770" w:type="dxa"/>
            <w:tcBorders>
              <w:top w:val="nil"/>
              <w:left w:val="nil"/>
              <w:bottom w:val="nil"/>
              <w:right w:val="nil"/>
            </w:tcBorders>
            <w:shd w:val="clear" w:color="000000" w:fill="FFFFFF"/>
            <w:noWrap/>
            <w:vAlign w:val="bottom"/>
            <w:hideMark/>
          </w:tcPr>
          <w:p w14:paraId="338ADBE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   </w:t>
            </w:r>
          </w:p>
        </w:tc>
        <w:tc>
          <w:tcPr>
            <w:tcW w:w="818" w:type="dxa"/>
            <w:tcBorders>
              <w:top w:val="nil"/>
              <w:left w:val="nil"/>
              <w:bottom w:val="nil"/>
              <w:right w:val="nil"/>
            </w:tcBorders>
            <w:shd w:val="clear" w:color="000000" w:fill="FFFFFF"/>
            <w:noWrap/>
            <w:vAlign w:val="bottom"/>
            <w:hideMark/>
          </w:tcPr>
          <w:p w14:paraId="7122B57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2.2 </w:t>
            </w:r>
          </w:p>
        </w:tc>
        <w:tc>
          <w:tcPr>
            <w:tcW w:w="720" w:type="dxa"/>
            <w:tcBorders>
              <w:top w:val="nil"/>
              <w:left w:val="nil"/>
              <w:bottom w:val="nil"/>
              <w:right w:val="nil"/>
            </w:tcBorders>
            <w:shd w:val="clear" w:color="000000" w:fill="FFFFFF"/>
            <w:noWrap/>
            <w:vAlign w:val="bottom"/>
            <w:hideMark/>
          </w:tcPr>
          <w:p w14:paraId="5B983E7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2.6 </w:t>
            </w:r>
          </w:p>
        </w:tc>
        <w:tc>
          <w:tcPr>
            <w:tcW w:w="770" w:type="dxa"/>
            <w:tcBorders>
              <w:top w:val="nil"/>
              <w:left w:val="nil"/>
              <w:bottom w:val="nil"/>
              <w:right w:val="nil"/>
            </w:tcBorders>
            <w:shd w:val="clear" w:color="000000" w:fill="FFFFFF"/>
            <w:noWrap/>
            <w:vAlign w:val="bottom"/>
            <w:hideMark/>
          </w:tcPr>
          <w:p w14:paraId="7AA149E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2.0 </w:t>
            </w:r>
          </w:p>
        </w:tc>
        <w:tc>
          <w:tcPr>
            <w:tcW w:w="818" w:type="dxa"/>
            <w:tcBorders>
              <w:top w:val="nil"/>
              <w:left w:val="nil"/>
              <w:bottom w:val="nil"/>
              <w:right w:val="nil"/>
            </w:tcBorders>
            <w:shd w:val="clear" w:color="000000" w:fill="FFFFFF"/>
            <w:noWrap/>
            <w:vAlign w:val="bottom"/>
            <w:hideMark/>
          </w:tcPr>
          <w:p w14:paraId="189CE143"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2.4 </w:t>
            </w:r>
          </w:p>
        </w:tc>
      </w:tr>
      <w:tr w:rsidR="00AD40BF" w:rsidRPr="00AD40BF" w14:paraId="618BA63A" w14:textId="77777777" w:rsidTr="00AD40BF">
        <w:trPr>
          <w:trHeight w:val="405"/>
        </w:trPr>
        <w:tc>
          <w:tcPr>
            <w:tcW w:w="1123" w:type="dxa"/>
            <w:vMerge/>
            <w:tcBorders>
              <w:top w:val="nil"/>
              <w:left w:val="nil"/>
              <w:bottom w:val="double" w:sz="6" w:space="0" w:color="000000"/>
              <w:right w:val="nil"/>
            </w:tcBorders>
            <w:vAlign w:val="center"/>
            <w:hideMark/>
          </w:tcPr>
          <w:p w14:paraId="577E6D52"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double" w:sz="6" w:space="0" w:color="auto"/>
              <w:right w:val="nil"/>
            </w:tcBorders>
            <w:shd w:val="clear" w:color="000000" w:fill="FFFFFF"/>
            <w:noWrap/>
            <w:vAlign w:val="bottom"/>
            <w:hideMark/>
          </w:tcPr>
          <w:p w14:paraId="2834C0FA"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2015</w:t>
            </w:r>
          </w:p>
        </w:tc>
        <w:tc>
          <w:tcPr>
            <w:tcW w:w="720" w:type="dxa"/>
            <w:tcBorders>
              <w:top w:val="nil"/>
              <w:left w:val="nil"/>
              <w:bottom w:val="double" w:sz="6" w:space="0" w:color="auto"/>
              <w:right w:val="nil"/>
            </w:tcBorders>
            <w:shd w:val="clear" w:color="000000" w:fill="FFFFFF"/>
            <w:noWrap/>
            <w:vAlign w:val="bottom"/>
            <w:hideMark/>
          </w:tcPr>
          <w:p w14:paraId="0ADBF6A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2.4 </w:t>
            </w:r>
          </w:p>
        </w:tc>
        <w:tc>
          <w:tcPr>
            <w:tcW w:w="770" w:type="dxa"/>
            <w:tcBorders>
              <w:top w:val="nil"/>
              <w:left w:val="nil"/>
              <w:bottom w:val="double" w:sz="6" w:space="0" w:color="auto"/>
              <w:right w:val="nil"/>
            </w:tcBorders>
            <w:shd w:val="clear" w:color="000000" w:fill="FFFFFF"/>
            <w:noWrap/>
            <w:vAlign w:val="bottom"/>
            <w:hideMark/>
          </w:tcPr>
          <w:p w14:paraId="339281F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   </w:t>
            </w:r>
          </w:p>
        </w:tc>
        <w:tc>
          <w:tcPr>
            <w:tcW w:w="818" w:type="dxa"/>
            <w:tcBorders>
              <w:top w:val="nil"/>
              <w:left w:val="nil"/>
              <w:bottom w:val="double" w:sz="6" w:space="0" w:color="auto"/>
              <w:right w:val="nil"/>
            </w:tcBorders>
            <w:shd w:val="clear" w:color="000000" w:fill="FFFFFF"/>
            <w:noWrap/>
            <w:vAlign w:val="bottom"/>
            <w:hideMark/>
          </w:tcPr>
          <w:p w14:paraId="168FDE8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2.9 </w:t>
            </w:r>
          </w:p>
        </w:tc>
        <w:tc>
          <w:tcPr>
            <w:tcW w:w="818" w:type="dxa"/>
            <w:tcBorders>
              <w:top w:val="nil"/>
              <w:left w:val="nil"/>
              <w:bottom w:val="double" w:sz="6" w:space="0" w:color="auto"/>
              <w:right w:val="nil"/>
            </w:tcBorders>
            <w:shd w:val="clear" w:color="000000" w:fill="FFFFFF"/>
            <w:noWrap/>
            <w:vAlign w:val="bottom"/>
            <w:hideMark/>
          </w:tcPr>
          <w:p w14:paraId="2857E08B"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2.5 </w:t>
            </w:r>
          </w:p>
        </w:tc>
        <w:tc>
          <w:tcPr>
            <w:tcW w:w="770" w:type="dxa"/>
            <w:tcBorders>
              <w:top w:val="nil"/>
              <w:left w:val="nil"/>
              <w:bottom w:val="double" w:sz="6" w:space="0" w:color="auto"/>
              <w:right w:val="nil"/>
            </w:tcBorders>
            <w:shd w:val="clear" w:color="000000" w:fill="FFFFFF"/>
            <w:noWrap/>
            <w:vAlign w:val="bottom"/>
            <w:hideMark/>
          </w:tcPr>
          <w:p w14:paraId="4E4DFAA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1.0 </w:t>
            </w:r>
          </w:p>
        </w:tc>
        <w:tc>
          <w:tcPr>
            <w:tcW w:w="818" w:type="dxa"/>
            <w:tcBorders>
              <w:top w:val="nil"/>
              <w:left w:val="nil"/>
              <w:bottom w:val="double" w:sz="6" w:space="0" w:color="auto"/>
              <w:right w:val="nil"/>
            </w:tcBorders>
            <w:shd w:val="clear" w:color="000000" w:fill="FFFFFF"/>
            <w:noWrap/>
            <w:vAlign w:val="bottom"/>
            <w:hideMark/>
          </w:tcPr>
          <w:p w14:paraId="2094CCE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2.8 </w:t>
            </w:r>
          </w:p>
        </w:tc>
        <w:tc>
          <w:tcPr>
            <w:tcW w:w="720" w:type="dxa"/>
            <w:tcBorders>
              <w:top w:val="nil"/>
              <w:left w:val="nil"/>
              <w:bottom w:val="double" w:sz="6" w:space="0" w:color="auto"/>
              <w:right w:val="nil"/>
            </w:tcBorders>
            <w:shd w:val="clear" w:color="000000" w:fill="FFFFFF"/>
            <w:noWrap/>
            <w:vAlign w:val="bottom"/>
            <w:hideMark/>
          </w:tcPr>
          <w:p w14:paraId="07868328"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3.5 </w:t>
            </w:r>
          </w:p>
        </w:tc>
        <w:tc>
          <w:tcPr>
            <w:tcW w:w="770" w:type="dxa"/>
            <w:tcBorders>
              <w:top w:val="nil"/>
              <w:left w:val="nil"/>
              <w:bottom w:val="double" w:sz="6" w:space="0" w:color="auto"/>
              <w:right w:val="nil"/>
            </w:tcBorders>
            <w:shd w:val="clear" w:color="000000" w:fill="FFFFFF"/>
            <w:noWrap/>
            <w:vAlign w:val="bottom"/>
            <w:hideMark/>
          </w:tcPr>
          <w:p w14:paraId="4E624DF4"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4.0 </w:t>
            </w:r>
          </w:p>
        </w:tc>
        <w:tc>
          <w:tcPr>
            <w:tcW w:w="818" w:type="dxa"/>
            <w:tcBorders>
              <w:top w:val="nil"/>
              <w:left w:val="nil"/>
              <w:bottom w:val="double" w:sz="6" w:space="0" w:color="auto"/>
              <w:right w:val="nil"/>
            </w:tcBorders>
            <w:shd w:val="clear" w:color="000000" w:fill="FFFFFF"/>
            <w:noWrap/>
            <w:vAlign w:val="bottom"/>
            <w:hideMark/>
          </w:tcPr>
          <w:p w14:paraId="2C555AD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3.0 </w:t>
            </w:r>
          </w:p>
        </w:tc>
      </w:tr>
      <w:tr w:rsidR="00AD40BF" w:rsidRPr="00AD40BF" w14:paraId="018ACA67" w14:textId="77777777" w:rsidTr="00AD40BF">
        <w:trPr>
          <w:trHeight w:val="405"/>
        </w:trPr>
        <w:tc>
          <w:tcPr>
            <w:tcW w:w="1123" w:type="dxa"/>
            <w:vMerge w:val="restart"/>
            <w:tcBorders>
              <w:top w:val="nil"/>
              <w:left w:val="nil"/>
              <w:bottom w:val="double" w:sz="6" w:space="0" w:color="000000"/>
              <w:right w:val="nil"/>
            </w:tcBorders>
            <w:shd w:val="clear" w:color="000000" w:fill="FFFFFF"/>
            <w:vAlign w:val="center"/>
            <w:hideMark/>
          </w:tcPr>
          <w:p w14:paraId="4574E606" w14:textId="77777777" w:rsidR="00AD40BF" w:rsidRPr="00AD40BF" w:rsidRDefault="00AD40BF" w:rsidP="00AD40BF">
            <w:pPr>
              <w:spacing w:after="0" w:line="240" w:lineRule="auto"/>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Ingresos mensuales por trabajo</w:t>
            </w:r>
          </w:p>
        </w:tc>
        <w:tc>
          <w:tcPr>
            <w:tcW w:w="595" w:type="dxa"/>
            <w:tcBorders>
              <w:top w:val="nil"/>
              <w:left w:val="nil"/>
              <w:bottom w:val="nil"/>
              <w:right w:val="nil"/>
            </w:tcBorders>
            <w:shd w:val="clear" w:color="000000" w:fill="FFFFFF"/>
            <w:noWrap/>
            <w:vAlign w:val="bottom"/>
            <w:hideMark/>
          </w:tcPr>
          <w:p w14:paraId="30A93DB0"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2000</w:t>
            </w:r>
          </w:p>
        </w:tc>
        <w:tc>
          <w:tcPr>
            <w:tcW w:w="720" w:type="dxa"/>
            <w:tcBorders>
              <w:top w:val="nil"/>
              <w:left w:val="nil"/>
              <w:bottom w:val="nil"/>
              <w:right w:val="nil"/>
            </w:tcBorders>
            <w:shd w:val="clear" w:color="000000" w:fill="FFFFFF"/>
            <w:noWrap/>
            <w:vAlign w:val="bottom"/>
            <w:hideMark/>
          </w:tcPr>
          <w:p w14:paraId="67B043A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4,066 </w:t>
            </w:r>
          </w:p>
        </w:tc>
        <w:tc>
          <w:tcPr>
            <w:tcW w:w="770" w:type="dxa"/>
            <w:tcBorders>
              <w:top w:val="nil"/>
              <w:left w:val="nil"/>
              <w:bottom w:val="nil"/>
              <w:right w:val="nil"/>
            </w:tcBorders>
            <w:shd w:val="clear" w:color="000000" w:fill="FFFFFF"/>
            <w:noWrap/>
            <w:vAlign w:val="bottom"/>
            <w:hideMark/>
          </w:tcPr>
          <w:p w14:paraId="702153A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2,143 </w:t>
            </w:r>
          </w:p>
        </w:tc>
        <w:tc>
          <w:tcPr>
            <w:tcW w:w="818" w:type="dxa"/>
            <w:tcBorders>
              <w:top w:val="nil"/>
              <w:left w:val="nil"/>
              <w:bottom w:val="nil"/>
              <w:right w:val="nil"/>
            </w:tcBorders>
            <w:shd w:val="clear" w:color="000000" w:fill="FFFFFF"/>
            <w:noWrap/>
            <w:vAlign w:val="bottom"/>
            <w:hideMark/>
          </w:tcPr>
          <w:p w14:paraId="49925D7F"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9,367 </w:t>
            </w:r>
          </w:p>
        </w:tc>
        <w:tc>
          <w:tcPr>
            <w:tcW w:w="818" w:type="dxa"/>
            <w:tcBorders>
              <w:top w:val="nil"/>
              <w:left w:val="nil"/>
              <w:bottom w:val="nil"/>
              <w:right w:val="nil"/>
            </w:tcBorders>
            <w:shd w:val="clear" w:color="000000" w:fill="FFFFFF"/>
            <w:noWrap/>
            <w:vAlign w:val="bottom"/>
            <w:hideMark/>
          </w:tcPr>
          <w:p w14:paraId="0F199D7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9,073 </w:t>
            </w:r>
          </w:p>
        </w:tc>
        <w:tc>
          <w:tcPr>
            <w:tcW w:w="770" w:type="dxa"/>
            <w:tcBorders>
              <w:top w:val="nil"/>
              <w:left w:val="nil"/>
              <w:bottom w:val="nil"/>
              <w:right w:val="nil"/>
            </w:tcBorders>
            <w:shd w:val="clear" w:color="000000" w:fill="FFFFFF"/>
            <w:noWrap/>
            <w:vAlign w:val="bottom"/>
            <w:hideMark/>
          </w:tcPr>
          <w:p w14:paraId="64BBA1C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4,286 </w:t>
            </w:r>
          </w:p>
        </w:tc>
        <w:tc>
          <w:tcPr>
            <w:tcW w:w="818" w:type="dxa"/>
            <w:tcBorders>
              <w:top w:val="nil"/>
              <w:left w:val="nil"/>
              <w:bottom w:val="nil"/>
              <w:right w:val="nil"/>
            </w:tcBorders>
            <w:shd w:val="clear" w:color="000000" w:fill="FFFFFF"/>
            <w:noWrap/>
            <w:vAlign w:val="bottom"/>
            <w:hideMark/>
          </w:tcPr>
          <w:p w14:paraId="0D39E8D9"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17,756 </w:t>
            </w:r>
          </w:p>
        </w:tc>
        <w:tc>
          <w:tcPr>
            <w:tcW w:w="720" w:type="dxa"/>
            <w:tcBorders>
              <w:top w:val="nil"/>
              <w:left w:val="nil"/>
              <w:bottom w:val="nil"/>
              <w:right w:val="nil"/>
            </w:tcBorders>
            <w:shd w:val="clear" w:color="000000" w:fill="FFFFFF"/>
            <w:noWrap/>
            <w:vAlign w:val="bottom"/>
            <w:hideMark/>
          </w:tcPr>
          <w:p w14:paraId="01A67DF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2,993 </w:t>
            </w:r>
          </w:p>
        </w:tc>
        <w:tc>
          <w:tcPr>
            <w:tcW w:w="770" w:type="dxa"/>
            <w:tcBorders>
              <w:top w:val="nil"/>
              <w:left w:val="nil"/>
              <w:bottom w:val="nil"/>
              <w:right w:val="nil"/>
            </w:tcBorders>
            <w:shd w:val="clear" w:color="000000" w:fill="FFFFFF"/>
            <w:noWrap/>
            <w:vAlign w:val="bottom"/>
            <w:hideMark/>
          </w:tcPr>
          <w:p w14:paraId="6B3C0C6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1,900 </w:t>
            </w:r>
          </w:p>
        </w:tc>
        <w:tc>
          <w:tcPr>
            <w:tcW w:w="818" w:type="dxa"/>
            <w:tcBorders>
              <w:top w:val="nil"/>
              <w:left w:val="nil"/>
              <w:bottom w:val="nil"/>
              <w:right w:val="nil"/>
            </w:tcBorders>
            <w:shd w:val="clear" w:color="000000" w:fill="FFFFFF"/>
            <w:noWrap/>
            <w:vAlign w:val="bottom"/>
            <w:hideMark/>
          </w:tcPr>
          <w:p w14:paraId="79B3CB4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7,833 </w:t>
            </w:r>
          </w:p>
        </w:tc>
      </w:tr>
      <w:tr w:rsidR="00AD40BF" w:rsidRPr="00AD40BF" w14:paraId="5542F4FE" w14:textId="77777777" w:rsidTr="00AD40BF">
        <w:trPr>
          <w:trHeight w:val="405"/>
        </w:trPr>
        <w:tc>
          <w:tcPr>
            <w:tcW w:w="1123" w:type="dxa"/>
            <w:vMerge/>
            <w:tcBorders>
              <w:top w:val="nil"/>
              <w:left w:val="nil"/>
              <w:bottom w:val="double" w:sz="6" w:space="0" w:color="000000"/>
              <w:right w:val="nil"/>
            </w:tcBorders>
            <w:vAlign w:val="center"/>
            <w:hideMark/>
          </w:tcPr>
          <w:p w14:paraId="44836FEA"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nil"/>
              <w:right w:val="nil"/>
            </w:tcBorders>
            <w:shd w:val="clear" w:color="000000" w:fill="FFFFFF"/>
            <w:noWrap/>
            <w:vAlign w:val="bottom"/>
            <w:hideMark/>
          </w:tcPr>
          <w:p w14:paraId="01693B14"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2010</w:t>
            </w:r>
          </w:p>
        </w:tc>
        <w:tc>
          <w:tcPr>
            <w:tcW w:w="720" w:type="dxa"/>
            <w:tcBorders>
              <w:top w:val="nil"/>
              <w:left w:val="nil"/>
              <w:bottom w:val="nil"/>
              <w:right w:val="nil"/>
            </w:tcBorders>
            <w:shd w:val="clear" w:color="000000" w:fill="FFFFFF"/>
            <w:noWrap/>
            <w:vAlign w:val="bottom"/>
            <w:hideMark/>
          </w:tcPr>
          <w:p w14:paraId="3D0C2FC1"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5,209 </w:t>
            </w:r>
          </w:p>
        </w:tc>
        <w:tc>
          <w:tcPr>
            <w:tcW w:w="770" w:type="dxa"/>
            <w:tcBorders>
              <w:top w:val="nil"/>
              <w:left w:val="nil"/>
              <w:bottom w:val="nil"/>
              <w:right w:val="nil"/>
            </w:tcBorders>
            <w:shd w:val="clear" w:color="000000" w:fill="FFFFFF"/>
            <w:noWrap/>
            <w:vAlign w:val="bottom"/>
            <w:hideMark/>
          </w:tcPr>
          <w:p w14:paraId="1790CF84"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3,857 </w:t>
            </w:r>
          </w:p>
        </w:tc>
        <w:tc>
          <w:tcPr>
            <w:tcW w:w="818" w:type="dxa"/>
            <w:tcBorders>
              <w:top w:val="nil"/>
              <w:left w:val="nil"/>
              <w:bottom w:val="nil"/>
              <w:right w:val="nil"/>
            </w:tcBorders>
            <w:shd w:val="clear" w:color="000000" w:fill="FFFFFF"/>
            <w:noWrap/>
            <w:vAlign w:val="bottom"/>
            <w:hideMark/>
          </w:tcPr>
          <w:p w14:paraId="2975B613"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10,380 </w:t>
            </w:r>
          </w:p>
        </w:tc>
        <w:tc>
          <w:tcPr>
            <w:tcW w:w="818" w:type="dxa"/>
            <w:tcBorders>
              <w:top w:val="nil"/>
              <w:left w:val="nil"/>
              <w:bottom w:val="nil"/>
              <w:right w:val="nil"/>
            </w:tcBorders>
            <w:shd w:val="clear" w:color="000000" w:fill="FFFFFF"/>
            <w:noWrap/>
            <w:vAlign w:val="bottom"/>
            <w:hideMark/>
          </w:tcPr>
          <w:p w14:paraId="23D6B67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11,626 </w:t>
            </w:r>
          </w:p>
        </w:tc>
        <w:tc>
          <w:tcPr>
            <w:tcW w:w="770" w:type="dxa"/>
            <w:tcBorders>
              <w:top w:val="nil"/>
              <w:left w:val="nil"/>
              <w:bottom w:val="nil"/>
              <w:right w:val="nil"/>
            </w:tcBorders>
            <w:shd w:val="clear" w:color="000000" w:fill="FFFFFF"/>
            <w:noWrap/>
            <w:vAlign w:val="bottom"/>
            <w:hideMark/>
          </w:tcPr>
          <w:p w14:paraId="7F21E816"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6,429 </w:t>
            </w:r>
          </w:p>
        </w:tc>
        <w:tc>
          <w:tcPr>
            <w:tcW w:w="818" w:type="dxa"/>
            <w:tcBorders>
              <w:top w:val="nil"/>
              <w:left w:val="nil"/>
              <w:bottom w:val="nil"/>
              <w:right w:val="nil"/>
            </w:tcBorders>
            <w:shd w:val="clear" w:color="000000" w:fill="FFFFFF"/>
            <w:noWrap/>
            <w:vAlign w:val="bottom"/>
            <w:hideMark/>
          </w:tcPr>
          <w:p w14:paraId="52D1886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18,813 </w:t>
            </w:r>
          </w:p>
        </w:tc>
        <w:tc>
          <w:tcPr>
            <w:tcW w:w="720" w:type="dxa"/>
            <w:tcBorders>
              <w:top w:val="nil"/>
              <w:left w:val="nil"/>
              <w:bottom w:val="nil"/>
              <w:right w:val="nil"/>
            </w:tcBorders>
            <w:shd w:val="clear" w:color="000000" w:fill="FFFFFF"/>
            <w:noWrap/>
            <w:vAlign w:val="bottom"/>
            <w:hideMark/>
          </w:tcPr>
          <w:p w14:paraId="4B6BC84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5,544 </w:t>
            </w:r>
          </w:p>
        </w:tc>
        <w:tc>
          <w:tcPr>
            <w:tcW w:w="770" w:type="dxa"/>
            <w:tcBorders>
              <w:top w:val="nil"/>
              <w:left w:val="nil"/>
              <w:bottom w:val="nil"/>
              <w:right w:val="nil"/>
            </w:tcBorders>
            <w:shd w:val="clear" w:color="000000" w:fill="FFFFFF"/>
            <w:noWrap/>
            <w:vAlign w:val="bottom"/>
            <w:hideMark/>
          </w:tcPr>
          <w:p w14:paraId="00EFA10B"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3,857 </w:t>
            </w:r>
          </w:p>
        </w:tc>
        <w:tc>
          <w:tcPr>
            <w:tcW w:w="818" w:type="dxa"/>
            <w:tcBorders>
              <w:top w:val="nil"/>
              <w:left w:val="nil"/>
              <w:bottom w:val="nil"/>
              <w:right w:val="nil"/>
            </w:tcBorders>
            <w:shd w:val="clear" w:color="000000" w:fill="FFFFFF"/>
            <w:noWrap/>
            <w:vAlign w:val="bottom"/>
            <w:hideMark/>
          </w:tcPr>
          <w:p w14:paraId="0401D48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8,867 </w:t>
            </w:r>
          </w:p>
        </w:tc>
      </w:tr>
      <w:tr w:rsidR="00AD40BF" w:rsidRPr="00AD40BF" w14:paraId="73C4F28D" w14:textId="77777777" w:rsidTr="00AD40BF">
        <w:trPr>
          <w:trHeight w:val="405"/>
        </w:trPr>
        <w:tc>
          <w:tcPr>
            <w:tcW w:w="1123" w:type="dxa"/>
            <w:vMerge/>
            <w:tcBorders>
              <w:top w:val="nil"/>
              <w:left w:val="nil"/>
              <w:bottom w:val="double" w:sz="6" w:space="0" w:color="000000"/>
              <w:right w:val="nil"/>
            </w:tcBorders>
            <w:vAlign w:val="center"/>
            <w:hideMark/>
          </w:tcPr>
          <w:p w14:paraId="04BD9139"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double" w:sz="6" w:space="0" w:color="auto"/>
              <w:right w:val="nil"/>
            </w:tcBorders>
            <w:shd w:val="clear" w:color="000000" w:fill="FFFFFF"/>
            <w:noWrap/>
            <w:vAlign w:val="bottom"/>
            <w:hideMark/>
          </w:tcPr>
          <w:p w14:paraId="7778DCDE"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2015</w:t>
            </w:r>
          </w:p>
        </w:tc>
        <w:tc>
          <w:tcPr>
            <w:tcW w:w="720" w:type="dxa"/>
            <w:tcBorders>
              <w:top w:val="nil"/>
              <w:left w:val="nil"/>
              <w:bottom w:val="double" w:sz="6" w:space="0" w:color="auto"/>
              <w:right w:val="nil"/>
            </w:tcBorders>
            <w:shd w:val="clear" w:color="000000" w:fill="FFFFFF"/>
            <w:noWrap/>
            <w:vAlign w:val="bottom"/>
            <w:hideMark/>
          </w:tcPr>
          <w:p w14:paraId="72BE3472"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6,222 </w:t>
            </w:r>
          </w:p>
        </w:tc>
        <w:tc>
          <w:tcPr>
            <w:tcW w:w="770" w:type="dxa"/>
            <w:tcBorders>
              <w:top w:val="nil"/>
              <w:left w:val="nil"/>
              <w:bottom w:val="double" w:sz="6" w:space="0" w:color="auto"/>
              <w:right w:val="nil"/>
            </w:tcBorders>
            <w:shd w:val="clear" w:color="000000" w:fill="FFFFFF"/>
            <w:noWrap/>
            <w:vAlign w:val="bottom"/>
            <w:hideMark/>
          </w:tcPr>
          <w:p w14:paraId="05EEE6B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4,286 </w:t>
            </w:r>
          </w:p>
        </w:tc>
        <w:tc>
          <w:tcPr>
            <w:tcW w:w="818" w:type="dxa"/>
            <w:tcBorders>
              <w:top w:val="nil"/>
              <w:left w:val="nil"/>
              <w:bottom w:val="double" w:sz="6" w:space="0" w:color="auto"/>
              <w:right w:val="nil"/>
            </w:tcBorders>
            <w:shd w:val="clear" w:color="000000" w:fill="FFFFFF"/>
            <w:noWrap/>
            <w:vAlign w:val="bottom"/>
            <w:hideMark/>
          </w:tcPr>
          <w:p w14:paraId="391694B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10,118 </w:t>
            </w:r>
          </w:p>
        </w:tc>
        <w:tc>
          <w:tcPr>
            <w:tcW w:w="818" w:type="dxa"/>
            <w:tcBorders>
              <w:top w:val="nil"/>
              <w:left w:val="nil"/>
              <w:bottom w:val="double" w:sz="6" w:space="0" w:color="auto"/>
              <w:right w:val="nil"/>
            </w:tcBorders>
            <w:shd w:val="clear" w:color="000000" w:fill="FFFFFF"/>
            <w:noWrap/>
            <w:vAlign w:val="bottom"/>
            <w:hideMark/>
          </w:tcPr>
          <w:p w14:paraId="3254D35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13,314 </w:t>
            </w:r>
          </w:p>
        </w:tc>
        <w:tc>
          <w:tcPr>
            <w:tcW w:w="770" w:type="dxa"/>
            <w:tcBorders>
              <w:top w:val="nil"/>
              <w:left w:val="nil"/>
              <w:bottom w:val="double" w:sz="6" w:space="0" w:color="auto"/>
              <w:right w:val="nil"/>
            </w:tcBorders>
            <w:shd w:val="clear" w:color="000000" w:fill="FFFFFF"/>
            <w:noWrap/>
            <w:vAlign w:val="bottom"/>
            <w:hideMark/>
          </w:tcPr>
          <w:p w14:paraId="7B3D027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8,000 </w:t>
            </w:r>
          </w:p>
        </w:tc>
        <w:tc>
          <w:tcPr>
            <w:tcW w:w="818" w:type="dxa"/>
            <w:tcBorders>
              <w:top w:val="nil"/>
              <w:left w:val="nil"/>
              <w:bottom w:val="double" w:sz="6" w:space="0" w:color="auto"/>
              <w:right w:val="nil"/>
            </w:tcBorders>
            <w:shd w:val="clear" w:color="000000" w:fill="FFFFFF"/>
            <w:noWrap/>
            <w:vAlign w:val="bottom"/>
            <w:hideMark/>
          </w:tcPr>
          <w:p w14:paraId="6E94F9E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20,131 </w:t>
            </w:r>
          </w:p>
        </w:tc>
        <w:tc>
          <w:tcPr>
            <w:tcW w:w="720" w:type="dxa"/>
            <w:tcBorders>
              <w:top w:val="nil"/>
              <w:left w:val="nil"/>
              <w:bottom w:val="double" w:sz="6" w:space="0" w:color="auto"/>
              <w:right w:val="nil"/>
            </w:tcBorders>
            <w:shd w:val="clear" w:color="000000" w:fill="FFFFFF"/>
            <w:noWrap/>
            <w:vAlign w:val="bottom"/>
            <w:hideMark/>
          </w:tcPr>
          <w:p w14:paraId="64440F39"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6,138 </w:t>
            </w:r>
          </w:p>
        </w:tc>
        <w:tc>
          <w:tcPr>
            <w:tcW w:w="770" w:type="dxa"/>
            <w:tcBorders>
              <w:top w:val="nil"/>
              <w:left w:val="nil"/>
              <w:bottom w:val="double" w:sz="6" w:space="0" w:color="auto"/>
              <w:right w:val="nil"/>
            </w:tcBorders>
            <w:shd w:val="clear" w:color="000000" w:fill="FFFFFF"/>
            <w:noWrap/>
            <w:vAlign w:val="bottom"/>
            <w:hideMark/>
          </w:tcPr>
          <w:p w14:paraId="2208E4B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4,286 </w:t>
            </w:r>
          </w:p>
        </w:tc>
        <w:tc>
          <w:tcPr>
            <w:tcW w:w="818" w:type="dxa"/>
            <w:tcBorders>
              <w:top w:val="nil"/>
              <w:left w:val="nil"/>
              <w:bottom w:val="double" w:sz="6" w:space="0" w:color="auto"/>
              <w:right w:val="nil"/>
            </w:tcBorders>
            <w:shd w:val="clear" w:color="000000" w:fill="FFFFFF"/>
            <w:noWrap/>
            <w:vAlign w:val="bottom"/>
            <w:hideMark/>
          </w:tcPr>
          <w:p w14:paraId="4A3BD0C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7,360 </w:t>
            </w:r>
          </w:p>
        </w:tc>
      </w:tr>
      <w:tr w:rsidR="00AD40BF" w:rsidRPr="00AD40BF" w14:paraId="7323B5FA" w14:textId="77777777" w:rsidTr="00AD40BF">
        <w:trPr>
          <w:trHeight w:val="405"/>
        </w:trPr>
        <w:tc>
          <w:tcPr>
            <w:tcW w:w="1123" w:type="dxa"/>
            <w:vMerge w:val="restart"/>
            <w:tcBorders>
              <w:top w:val="nil"/>
              <w:left w:val="nil"/>
              <w:bottom w:val="double" w:sz="6" w:space="0" w:color="000000"/>
              <w:right w:val="nil"/>
            </w:tcBorders>
            <w:shd w:val="clear" w:color="000000" w:fill="FFFFFF"/>
            <w:vAlign w:val="center"/>
            <w:hideMark/>
          </w:tcPr>
          <w:p w14:paraId="6599F505" w14:textId="77777777" w:rsidR="00AD40BF" w:rsidRPr="00AD40BF" w:rsidRDefault="00AD40BF" w:rsidP="00AD40BF">
            <w:pPr>
              <w:spacing w:after="0" w:line="240" w:lineRule="auto"/>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Número de salarios mínimos mensuales</w:t>
            </w:r>
          </w:p>
        </w:tc>
        <w:tc>
          <w:tcPr>
            <w:tcW w:w="595" w:type="dxa"/>
            <w:tcBorders>
              <w:top w:val="nil"/>
              <w:left w:val="nil"/>
              <w:bottom w:val="nil"/>
              <w:right w:val="nil"/>
            </w:tcBorders>
            <w:shd w:val="clear" w:color="000000" w:fill="FFFFFF"/>
            <w:noWrap/>
            <w:vAlign w:val="bottom"/>
            <w:hideMark/>
          </w:tcPr>
          <w:p w14:paraId="5E59ACF0"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2000</w:t>
            </w:r>
          </w:p>
        </w:tc>
        <w:tc>
          <w:tcPr>
            <w:tcW w:w="720" w:type="dxa"/>
            <w:tcBorders>
              <w:top w:val="nil"/>
              <w:left w:val="nil"/>
              <w:bottom w:val="nil"/>
              <w:right w:val="nil"/>
            </w:tcBorders>
            <w:shd w:val="clear" w:color="000000" w:fill="FFFFFF"/>
            <w:noWrap/>
            <w:vAlign w:val="bottom"/>
            <w:hideMark/>
          </w:tcPr>
          <w:p w14:paraId="314C5126"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3.8 </w:t>
            </w:r>
          </w:p>
        </w:tc>
        <w:tc>
          <w:tcPr>
            <w:tcW w:w="770" w:type="dxa"/>
            <w:tcBorders>
              <w:top w:val="nil"/>
              <w:left w:val="nil"/>
              <w:bottom w:val="nil"/>
              <w:right w:val="nil"/>
            </w:tcBorders>
            <w:shd w:val="clear" w:color="000000" w:fill="FFFFFF"/>
            <w:noWrap/>
            <w:vAlign w:val="bottom"/>
            <w:hideMark/>
          </w:tcPr>
          <w:p w14:paraId="57D1F01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2.0 </w:t>
            </w:r>
          </w:p>
        </w:tc>
        <w:tc>
          <w:tcPr>
            <w:tcW w:w="818" w:type="dxa"/>
            <w:tcBorders>
              <w:top w:val="nil"/>
              <w:left w:val="nil"/>
              <w:bottom w:val="nil"/>
              <w:right w:val="nil"/>
            </w:tcBorders>
            <w:shd w:val="clear" w:color="000000" w:fill="FFFFFF"/>
            <w:noWrap/>
            <w:vAlign w:val="bottom"/>
            <w:hideMark/>
          </w:tcPr>
          <w:p w14:paraId="2BF4F25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8.9 </w:t>
            </w:r>
          </w:p>
        </w:tc>
        <w:tc>
          <w:tcPr>
            <w:tcW w:w="818" w:type="dxa"/>
            <w:tcBorders>
              <w:top w:val="nil"/>
              <w:left w:val="nil"/>
              <w:bottom w:val="nil"/>
              <w:right w:val="nil"/>
            </w:tcBorders>
            <w:shd w:val="clear" w:color="000000" w:fill="FFFFFF"/>
            <w:noWrap/>
            <w:vAlign w:val="bottom"/>
            <w:hideMark/>
          </w:tcPr>
          <w:p w14:paraId="6F026FE3"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8.6 </w:t>
            </w:r>
          </w:p>
        </w:tc>
        <w:tc>
          <w:tcPr>
            <w:tcW w:w="770" w:type="dxa"/>
            <w:tcBorders>
              <w:top w:val="nil"/>
              <w:left w:val="nil"/>
              <w:bottom w:val="nil"/>
              <w:right w:val="nil"/>
            </w:tcBorders>
            <w:shd w:val="clear" w:color="000000" w:fill="FFFFFF"/>
            <w:noWrap/>
            <w:vAlign w:val="bottom"/>
            <w:hideMark/>
          </w:tcPr>
          <w:p w14:paraId="4B8B47B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4.1 </w:t>
            </w:r>
          </w:p>
        </w:tc>
        <w:tc>
          <w:tcPr>
            <w:tcW w:w="818" w:type="dxa"/>
            <w:tcBorders>
              <w:top w:val="nil"/>
              <w:left w:val="nil"/>
              <w:bottom w:val="nil"/>
              <w:right w:val="nil"/>
            </w:tcBorders>
            <w:shd w:val="clear" w:color="000000" w:fill="FFFFFF"/>
            <w:noWrap/>
            <w:vAlign w:val="bottom"/>
            <w:hideMark/>
          </w:tcPr>
          <w:p w14:paraId="394AC87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16.8 </w:t>
            </w:r>
          </w:p>
        </w:tc>
        <w:tc>
          <w:tcPr>
            <w:tcW w:w="720" w:type="dxa"/>
            <w:tcBorders>
              <w:top w:val="nil"/>
              <w:left w:val="nil"/>
              <w:bottom w:val="nil"/>
              <w:right w:val="nil"/>
            </w:tcBorders>
            <w:shd w:val="clear" w:color="000000" w:fill="FFFFFF"/>
            <w:noWrap/>
            <w:vAlign w:val="bottom"/>
            <w:hideMark/>
          </w:tcPr>
          <w:p w14:paraId="04FA462B"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2.8 </w:t>
            </w:r>
          </w:p>
        </w:tc>
        <w:tc>
          <w:tcPr>
            <w:tcW w:w="770" w:type="dxa"/>
            <w:tcBorders>
              <w:top w:val="nil"/>
              <w:left w:val="nil"/>
              <w:bottom w:val="nil"/>
              <w:right w:val="nil"/>
            </w:tcBorders>
            <w:shd w:val="clear" w:color="000000" w:fill="FFFFFF"/>
            <w:noWrap/>
            <w:vAlign w:val="bottom"/>
            <w:hideMark/>
          </w:tcPr>
          <w:p w14:paraId="1062A289"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1.8 </w:t>
            </w:r>
          </w:p>
        </w:tc>
        <w:tc>
          <w:tcPr>
            <w:tcW w:w="818" w:type="dxa"/>
            <w:tcBorders>
              <w:top w:val="nil"/>
              <w:left w:val="nil"/>
              <w:bottom w:val="nil"/>
              <w:right w:val="nil"/>
            </w:tcBorders>
            <w:shd w:val="clear" w:color="000000" w:fill="FFFFFF"/>
            <w:noWrap/>
            <w:vAlign w:val="bottom"/>
            <w:hideMark/>
          </w:tcPr>
          <w:p w14:paraId="33021D1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7.4 </w:t>
            </w:r>
          </w:p>
        </w:tc>
      </w:tr>
      <w:tr w:rsidR="00AD40BF" w:rsidRPr="00AD40BF" w14:paraId="7BF78B72" w14:textId="77777777" w:rsidTr="00AD40BF">
        <w:trPr>
          <w:trHeight w:val="405"/>
        </w:trPr>
        <w:tc>
          <w:tcPr>
            <w:tcW w:w="1123" w:type="dxa"/>
            <w:vMerge/>
            <w:tcBorders>
              <w:top w:val="nil"/>
              <w:left w:val="nil"/>
              <w:bottom w:val="double" w:sz="6" w:space="0" w:color="000000"/>
              <w:right w:val="nil"/>
            </w:tcBorders>
            <w:vAlign w:val="center"/>
            <w:hideMark/>
          </w:tcPr>
          <w:p w14:paraId="3C092CDC"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nil"/>
              <w:right w:val="nil"/>
            </w:tcBorders>
            <w:shd w:val="clear" w:color="000000" w:fill="FFFFFF"/>
            <w:noWrap/>
            <w:vAlign w:val="bottom"/>
            <w:hideMark/>
          </w:tcPr>
          <w:p w14:paraId="470AC345"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2010</w:t>
            </w:r>
          </w:p>
        </w:tc>
        <w:tc>
          <w:tcPr>
            <w:tcW w:w="720" w:type="dxa"/>
            <w:tcBorders>
              <w:top w:val="nil"/>
              <w:left w:val="nil"/>
              <w:bottom w:val="nil"/>
              <w:right w:val="nil"/>
            </w:tcBorders>
            <w:shd w:val="clear" w:color="000000" w:fill="FFFFFF"/>
            <w:noWrap/>
            <w:vAlign w:val="bottom"/>
            <w:hideMark/>
          </w:tcPr>
          <w:p w14:paraId="02F2159F"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3.1 </w:t>
            </w:r>
          </w:p>
        </w:tc>
        <w:tc>
          <w:tcPr>
            <w:tcW w:w="770" w:type="dxa"/>
            <w:tcBorders>
              <w:top w:val="nil"/>
              <w:left w:val="nil"/>
              <w:bottom w:val="nil"/>
              <w:right w:val="nil"/>
            </w:tcBorders>
            <w:shd w:val="clear" w:color="000000" w:fill="FFFFFF"/>
            <w:noWrap/>
            <w:vAlign w:val="bottom"/>
            <w:hideMark/>
          </w:tcPr>
          <w:p w14:paraId="1C34294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2.3 </w:t>
            </w:r>
          </w:p>
        </w:tc>
        <w:tc>
          <w:tcPr>
            <w:tcW w:w="818" w:type="dxa"/>
            <w:tcBorders>
              <w:top w:val="nil"/>
              <w:left w:val="nil"/>
              <w:bottom w:val="nil"/>
              <w:right w:val="nil"/>
            </w:tcBorders>
            <w:shd w:val="clear" w:color="000000" w:fill="FFFFFF"/>
            <w:noWrap/>
            <w:vAlign w:val="bottom"/>
            <w:hideMark/>
          </w:tcPr>
          <w:p w14:paraId="1820BC0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6.2 </w:t>
            </w:r>
          </w:p>
        </w:tc>
        <w:tc>
          <w:tcPr>
            <w:tcW w:w="818" w:type="dxa"/>
            <w:tcBorders>
              <w:top w:val="nil"/>
              <w:left w:val="nil"/>
              <w:bottom w:val="nil"/>
              <w:right w:val="nil"/>
            </w:tcBorders>
            <w:shd w:val="clear" w:color="000000" w:fill="FFFFFF"/>
            <w:noWrap/>
            <w:vAlign w:val="bottom"/>
            <w:hideMark/>
          </w:tcPr>
          <w:p w14:paraId="3ADA0F3E"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6.9 </w:t>
            </w:r>
          </w:p>
        </w:tc>
        <w:tc>
          <w:tcPr>
            <w:tcW w:w="770" w:type="dxa"/>
            <w:tcBorders>
              <w:top w:val="nil"/>
              <w:left w:val="nil"/>
              <w:bottom w:val="nil"/>
              <w:right w:val="nil"/>
            </w:tcBorders>
            <w:shd w:val="clear" w:color="000000" w:fill="FFFFFF"/>
            <w:noWrap/>
            <w:vAlign w:val="bottom"/>
            <w:hideMark/>
          </w:tcPr>
          <w:p w14:paraId="5A8787E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3.8 </w:t>
            </w:r>
          </w:p>
        </w:tc>
        <w:tc>
          <w:tcPr>
            <w:tcW w:w="818" w:type="dxa"/>
            <w:tcBorders>
              <w:top w:val="nil"/>
              <w:left w:val="nil"/>
              <w:bottom w:val="nil"/>
              <w:right w:val="nil"/>
            </w:tcBorders>
            <w:shd w:val="clear" w:color="000000" w:fill="FFFFFF"/>
            <w:noWrap/>
            <w:vAlign w:val="bottom"/>
            <w:hideMark/>
          </w:tcPr>
          <w:p w14:paraId="1C76771A"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11.2 </w:t>
            </w:r>
          </w:p>
        </w:tc>
        <w:tc>
          <w:tcPr>
            <w:tcW w:w="720" w:type="dxa"/>
            <w:tcBorders>
              <w:top w:val="nil"/>
              <w:left w:val="nil"/>
              <w:bottom w:val="nil"/>
              <w:right w:val="nil"/>
            </w:tcBorders>
            <w:shd w:val="clear" w:color="000000" w:fill="FFFFFF"/>
            <w:noWrap/>
            <w:vAlign w:val="bottom"/>
            <w:hideMark/>
          </w:tcPr>
          <w:p w14:paraId="07C3D86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3.3 </w:t>
            </w:r>
          </w:p>
        </w:tc>
        <w:tc>
          <w:tcPr>
            <w:tcW w:w="770" w:type="dxa"/>
            <w:tcBorders>
              <w:top w:val="nil"/>
              <w:left w:val="nil"/>
              <w:bottom w:val="nil"/>
              <w:right w:val="nil"/>
            </w:tcBorders>
            <w:shd w:val="clear" w:color="000000" w:fill="FFFFFF"/>
            <w:noWrap/>
            <w:vAlign w:val="bottom"/>
            <w:hideMark/>
          </w:tcPr>
          <w:p w14:paraId="7F524EA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2.3 </w:t>
            </w:r>
          </w:p>
        </w:tc>
        <w:tc>
          <w:tcPr>
            <w:tcW w:w="818" w:type="dxa"/>
            <w:tcBorders>
              <w:top w:val="nil"/>
              <w:left w:val="nil"/>
              <w:bottom w:val="nil"/>
              <w:right w:val="nil"/>
            </w:tcBorders>
            <w:shd w:val="clear" w:color="000000" w:fill="FFFFFF"/>
            <w:noWrap/>
            <w:vAlign w:val="bottom"/>
            <w:hideMark/>
          </w:tcPr>
          <w:p w14:paraId="139FFE9D"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5.3 </w:t>
            </w:r>
          </w:p>
        </w:tc>
      </w:tr>
      <w:tr w:rsidR="00AD40BF" w:rsidRPr="00AD40BF" w14:paraId="0C599747" w14:textId="77777777" w:rsidTr="00AD40BF">
        <w:trPr>
          <w:trHeight w:val="405"/>
        </w:trPr>
        <w:tc>
          <w:tcPr>
            <w:tcW w:w="1123" w:type="dxa"/>
            <w:vMerge/>
            <w:tcBorders>
              <w:top w:val="nil"/>
              <w:left w:val="nil"/>
              <w:bottom w:val="double" w:sz="6" w:space="0" w:color="000000"/>
              <w:right w:val="nil"/>
            </w:tcBorders>
            <w:vAlign w:val="center"/>
            <w:hideMark/>
          </w:tcPr>
          <w:p w14:paraId="62ADA061" w14:textId="77777777" w:rsidR="00AD40BF" w:rsidRPr="00AD40BF" w:rsidRDefault="00AD40BF" w:rsidP="00AD40BF">
            <w:pPr>
              <w:spacing w:after="0" w:line="240" w:lineRule="auto"/>
              <w:rPr>
                <w:rFonts w:ascii="Arial" w:eastAsia="Times New Roman" w:hAnsi="Arial" w:cs="Arial"/>
                <w:b/>
                <w:bCs/>
                <w:sz w:val="16"/>
                <w:szCs w:val="16"/>
                <w:lang w:eastAsia="es-MX"/>
              </w:rPr>
            </w:pPr>
          </w:p>
        </w:tc>
        <w:tc>
          <w:tcPr>
            <w:tcW w:w="595" w:type="dxa"/>
            <w:tcBorders>
              <w:top w:val="nil"/>
              <w:left w:val="nil"/>
              <w:bottom w:val="double" w:sz="6" w:space="0" w:color="auto"/>
              <w:right w:val="nil"/>
            </w:tcBorders>
            <w:shd w:val="clear" w:color="000000" w:fill="FFFFFF"/>
            <w:noWrap/>
            <w:vAlign w:val="bottom"/>
            <w:hideMark/>
          </w:tcPr>
          <w:p w14:paraId="39EE8EC4" w14:textId="77777777" w:rsidR="00AD40BF" w:rsidRPr="00AD40BF" w:rsidRDefault="00AD40BF" w:rsidP="00AD40BF">
            <w:pPr>
              <w:spacing w:after="0" w:line="240" w:lineRule="auto"/>
              <w:jc w:val="right"/>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2015</w:t>
            </w:r>
          </w:p>
        </w:tc>
        <w:tc>
          <w:tcPr>
            <w:tcW w:w="720" w:type="dxa"/>
            <w:tcBorders>
              <w:top w:val="nil"/>
              <w:left w:val="nil"/>
              <w:bottom w:val="double" w:sz="6" w:space="0" w:color="auto"/>
              <w:right w:val="nil"/>
            </w:tcBorders>
            <w:shd w:val="clear" w:color="000000" w:fill="FFFFFF"/>
            <w:noWrap/>
            <w:vAlign w:val="bottom"/>
            <w:hideMark/>
          </w:tcPr>
          <w:p w14:paraId="0FE7D3C4"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3.0 </w:t>
            </w:r>
          </w:p>
        </w:tc>
        <w:tc>
          <w:tcPr>
            <w:tcW w:w="770" w:type="dxa"/>
            <w:tcBorders>
              <w:top w:val="nil"/>
              <w:left w:val="nil"/>
              <w:bottom w:val="double" w:sz="6" w:space="0" w:color="auto"/>
              <w:right w:val="nil"/>
            </w:tcBorders>
            <w:shd w:val="clear" w:color="000000" w:fill="FFFFFF"/>
            <w:noWrap/>
            <w:vAlign w:val="bottom"/>
            <w:hideMark/>
          </w:tcPr>
          <w:p w14:paraId="4BB3C28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2.1 </w:t>
            </w:r>
          </w:p>
        </w:tc>
        <w:tc>
          <w:tcPr>
            <w:tcW w:w="818" w:type="dxa"/>
            <w:tcBorders>
              <w:top w:val="nil"/>
              <w:left w:val="nil"/>
              <w:bottom w:val="double" w:sz="6" w:space="0" w:color="auto"/>
              <w:right w:val="nil"/>
            </w:tcBorders>
            <w:shd w:val="clear" w:color="000000" w:fill="FFFFFF"/>
            <w:noWrap/>
            <w:vAlign w:val="bottom"/>
            <w:hideMark/>
          </w:tcPr>
          <w:p w14:paraId="4A3A4A9F"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4.9 </w:t>
            </w:r>
          </w:p>
        </w:tc>
        <w:tc>
          <w:tcPr>
            <w:tcW w:w="818" w:type="dxa"/>
            <w:tcBorders>
              <w:top w:val="nil"/>
              <w:left w:val="nil"/>
              <w:bottom w:val="double" w:sz="6" w:space="0" w:color="auto"/>
              <w:right w:val="nil"/>
            </w:tcBorders>
            <w:shd w:val="clear" w:color="000000" w:fill="FFFFFF"/>
            <w:noWrap/>
            <w:vAlign w:val="bottom"/>
            <w:hideMark/>
          </w:tcPr>
          <w:p w14:paraId="394D9B97"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6.4 </w:t>
            </w:r>
          </w:p>
        </w:tc>
        <w:tc>
          <w:tcPr>
            <w:tcW w:w="770" w:type="dxa"/>
            <w:tcBorders>
              <w:top w:val="nil"/>
              <w:left w:val="nil"/>
              <w:bottom w:val="double" w:sz="6" w:space="0" w:color="auto"/>
              <w:right w:val="nil"/>
            </w:tcBorders>
            <w:shd w:val="clear" w:color="000000" w:fill="FFFFFF"/>
            <w:noWrap/>
            <w:vAlign w:val="bottom"/>
            <w:hideMark/>
          </w:tcPr>
          <w:p w14:paraId="7156C3E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3.9 </w:t>
            </w:r>
          </w:p>
        </w:tc>
        <w:tc>
          <w:tcPr>
            <w:tcW w:w="818" w:type="dxa"/>
            <w:tcBorders>
              <w:top w:val="nil"/>
              <w:left w:val="nil"/>
              <w:bottom w:val="double" w:sz="6" w:space="0" w:color="auto"/>
              <w:right w:val="nil"/>
            </w:tcBorders>
            <w:shd w:val="clear" w:color="000000" w:fill="FFFFFF"/>
            <w:noWrap/>
            <w:vAlign w:val="bottom"/>
            <w:hideMark/>
          </w:tcPr>
          <w:p w14:paraId="28A72D4C"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9.7 </w:t>
            </w:r>
          </w:p>
        </w:tc>
        <w:tc>
          <w:tcPr>
            <w:tcW w:w="720" w:type="dxa"/>
            <w:tcBorders>
              <w:top w:val="nil"/>
              <w:left w:val="nil"/>
              <w:bottom w:val="double" w:sz="6" w:space="0" w:color="auto"/>
              <w:right w:val="nil"/>
            </w:tcBorders>
            <w:shd w:val="clear" w:color="000000" w:fill="FFFFFF"/>
            <w:noWrap/>
            <w:vAlign w:val="bottom"/>
            <w:hideMark/>
          </w:tcPr>
          <w:p w14:paraId="30817A20"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3.0 </w:t>
            </w:r>
          </w:p>
        </w:tc>
        <w:tc>
          <w:tcPr>
            <w:tcW w:w="770" w:type="dxa"/>
            <w:tcBorders>
              <w:top w:val="nil"/>
              <w:left w:val="nil"/>
              <w:bottom w:val="double" w:sz="6" w:space="0" w:color="auto"/>
              <w:right w:val="nil"/>
            </w:tcBorders>
            <w:shd w:val="clear" w:color="000000" w:fill="FFFFFF"/>
            <w:noWrap/>
            <w:vAlign w:val="bottom"/>
            <w:hideMark/>
          </w:tcPr>
          <w:p w14:paraId="7236FC55"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2.1 </w:t>
            </w:r>
          </w:p>
        </w:tc>
        <w:tc>
          <w:tcPr>
            <w:tcW w:w="818" w:type="dxa"/>
            <w:tcBorders>
              <w:top w:val="nil"/>
              <w:left w:val="nil"/>
              <w:bottom w:val="double" w:sz="6" w:space="0" w:color="auto"/>
              <w:right w:val="nil"/>
            </w:tcBorders>
            <w:shd w:val="clear" w:color="000000" w:fill="FFFFFF"/>
            <w:noWrap/>
            <w:vAlign w:val="bottom"/>
            <w:hideMark/>
          </w:tcPr>
          <w:p w14:paraId="427B397F" w14:textId="77777777" w:rsidR="00AD40BF" w:rsidRPr="00AD40BF" w:rsidRDefault="00AD40BF" w:rsidP="00AD40BF">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 xml:space="preserve">           3.5 </w:t>
            </w:r>
          </w:p>
        </w:tc>
      </w:tr>
      <w:tr w:rsidR="00AD40BF" w:rsidRPr="00AD40BF" w14:paraId="6C4250B9" w14:textId="77777777" w:rsidTr="00AD40BF">
        <w:trPr>
          <w:trHeight w:val="555"/>
        </w:trPr>
        <w:tc>
          <w:tcPr>
            <w:tcW w:w="8740" w:type="dxa"/>
            <w:gridSpan w:val="11"/>
            <w:tcBorders>
              <w:top w:val="double" w:sz="6" w:space="0" w:color="auto"/>
              <w:left w:val="nil"/>
              <w:bottom w:val="nil"/>
              <w:right w:val="nil"/>
            </w:tcBorders>
            <w:shd w:val="clear" w:color="000000" w:fill="FFFFFF"/>
            <w:vAlign w:val="bottom"/>
            <w:hideMark/>
          </w:tcPr>
          <w:p w14:paraId="640D45F9" w14:textId="77777777" w:rsidR="00AD40BF" w:rsidRPr="00AD40BF" w:rsidRDefault="00AD40BF" w:rsidP="00AD40BF">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Fuente: Elaboración propia a partir de los microdatos de los Censos de Población y Vivienda de 2000, 2010 y Encuesta Intercensal 2015</w:t>
            </w:r>
          </w:p>
        </w:tc>
      </w:tr>
    </w:tbl>
    <w:p w14:paraId="7551A9DD" w14:textId="217E1F0A" w:rsidR="001913E8" w:rsidRDefault="009E3AF7" w:rsidP="005613AC">
      <w:pPr>
        <w:spacing w:before="240" w:after="24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Al considerar</w:t>
      </w:r>
      <w:r w:rsidR="00292793">
        <w:rPr>
          <w:rFonts w:ascii="Times New Roman" w:eastAsia="Times New Roman" w:hAnsi="Times New Roman" w:cs="Times New Roman"/>
          <w:sz w:val="24"/>
          <w:szCs w:val="24"/>
          <w:lang w:eastAsia="es-MX"/>
        </w:rPr>
        <w:t xml:space="preserve"> la asistencia escolar de los hijos que viven en hogares, según la condición migratoria de la jefatura de hogar</w:t>
      </w:r>
      <w:r w:rsidR="00236621">
        <w:rPr>
          <w:rFonts w:ascii="Times New Roman" w:eastAsia="Times New Roman" w:hAnsi="Times New Roman" w:cs="Times New Roman"/>
          <w:sz w:val="24"/>
          <w:szCs w:val="24"/>
          <w:lang w:eastAsia="es-MX"/>
        </w:rPr>
        <w:t xml:space="preserve"> (ver tabla 3)</w:t>
      </w:r>
      <w:r w:rsidR="002912BB">
        <w:rPr>
          <w:rFonts w:ascii="Times New Roman" w:eastAsia="Times New Roman" w:hAnsi="Times New Roman" w:cs="Times New Roman"/>
          <w:sz w:val="24"/>
          <w:szCs w:val="24"/>
          <w:lang w:eastAsia="es-MX"/>
        </w:rPr>
        <w:t xml:space="preserve">, notamos que </w:t>
      </w:r>
      <w:r w:rsidR="00A13B3A">
        <w:rPr>
          <w:rFonts w:ascii="Times New Roman" w:eastAsia="Times New Roman" w:hAnsi="Times New Roman" w:cs="Times New Roman"/>
          <w:sz w:val="24"/>
          <w:szCs w:val="24"/>
          <w:lang w:eastAsia="es-MX"/>
        </w:rPr>
        <w:t>los niños de entre 6 y 11 años, asisten en su gran mayoría a la escuela, sin que haya grandes diferencias en</w:t>
      </w:r>
      <w:r w:rsidR="004B6D21">
        <w:rPr>
          <w:rFonts w:ascii="Times New Roman" w:eastAsia="Times New Roman" w:hAnsi="Times New Roman" w:cs="Times New Roman"/>
          <w:sz w:val="24"/>
          <w:szCs w:val="24"/>
          <w:lang w:eastAsia="es-MX"/>
        </w:rPr>
        <w:t xml:space="preserve">tre los hogares jefaturados por retornados de Estados Unidos y los hogares jefaturados por nunca migrantes. </w:t>
      </w:r>
      <w:r w:rsidR="003D1B40">
        <w:rPr>
          <w:rFonts w:ascii="Times New Roman" w:eastAsia="Times New Roman" w:hAnsi="Times New Roman" w:cs="Times New Roman"/>
          <w:sz w:val="24"/>
          <w:szCs w:val="24"/>
          <w:lang w:eastAsia="es-MX"/>
        </w:rPr>
        <w:t>Pero para los niños de 12 a 14 años ya encont</w:t>
      </w:r>
      <w:r w:rsidR="008C4626">
        <w:rPr>
          <w:rFonts w:ascii="Times New Roman" w:eastAsia="Times New Roman" w:hAnsi="Times New Roman" w:cs="Times New Roman"/>
          <w:sz w:val="24"/>
          <w:szCs w:val="24"/>
          <w:lang w:eastAsia="es-MX"/>
        </w:rPr>
        <w:t>ramos diferencias; en ese grupo de edad</w:t>
      </w:r>
      <w:r w:rsidR="00A724A4">
        <w:rPr>
          <w:rFonts w:ascii="Times New Roman" w:eastAsia="Times New Roman" w:hAnsi="Times New Roman" w:cs="Times New Roman"/>
          <w:sz w:val="24"/>
          <w:szCs w:val="24"/>
          <w:lang w:eastAsia="es-MX"/>
        </w:rPr>
        <w:t>, en los hogares jefaturados por retornados,</w:t>
      </w:r>
      <w:r w:rsidR="008C4626">
        <w:rPr>
          <w:rFonts w:ascii="Times New Roman" w:eastAsia="Times New Roman" w:hAnsi="Times New Roman" w:cs="Times New Roman"/>
          <w:sz w:val="24"/>
          <w:szCs w:val="24"/>
          <w:lang w:eastAsia="es-MX"/>
        </w:rPr>
        <w:t xml:space="preserve"> ya comienza a descender la proporción de hogares con niños de esas edades que sólo asisten a la escuela</w:t>
      </w:r>
      <w:r w:rsidR="00A724A4">
        <w:rPr>
          <w:rFonts w:ascii="Times New Roman" w:eastAsia="Times New Roman" w:hAnsi="Times New Roman" w:cs="Times New Roman"/>
          <w:sz w:val="24"/>
          <w:szCs w:val="24"/>
          <w:lang w:eastAsia="es-MX"/>
        </w:rPr>
        <w:t>, y comienza a crecer la proporción de hogares con niños de esas edades</w:t>
      </w:r>
      <w:r w:rsidR="00E40905">
        <w:rPr>
          <w:rFonts w:ascii="Times New Roman" w:eastAsia="Times New Roman" w:hAnsi="Times New Roman" w:cs="Times New Roman"/>
          <w:sz w:val="24"/>
          <w:szCs w:val="24"/>
          <w:lang w:eastAsia="es-MX"/>
        </w:rPr>
        <w:t xml:space="preserve"> que ya no asisten a la escuela. En los posteriores grupos de edad, la proporción de los que no asisten seguirá creciendo más fuerte en los hogares jefaturados por retornados, respecto de los hogares jefaturados por no migrantes.</w:t>
      </w:r>
      <w:r w:rsidR="00A32947">
        <w:rPr>
          <w:rFonts w:ascii="Times New Roman" w:eastAsia="Times New Roman" w:hAnsi="Times New Roman" w:cs="Times New Roman"/>
          <w:sz w:val="24"/>
          <w:szCs w:val="24"/>
          <w:lang w:eastAsia="es-MX"/>
        </w:rPr>
        <w:t xml:space="preserve"> Sin duda, la tabla 3 deja ver con claridad que </w:t>
      </w:r>
      <w:r w:rsidR="00BF0554">
        <w:rPr>
          <w:rFonts w:ascii="Times New Roman" w:eastAsia="Times New Roman" w:hAnsi="Times New Roman" w:cs="Times New Roman"/>
          <w:sz w:val="24"/>
          <w:szCs w:val="24"/>
          <w:lang w:eastAsia="es-MX"/>
        </w:rPr>
        <w:t xml:space="preserve">las jefaturas de hogar de retornados tienen enfrentan </w:t>
      </w:r>
      <w:r w:rsidR="00BF0554">
        <w:rPr>
          <w:rFonts w:ascii="Times New Roman" w:eastAsia="Times New Roman" w:hAnsi="Times New Roman" w:cs="Times New Roman"/>
          <w:sz w:val="24"/>
          <w:szCs w:val="24"/>
          <w:lang w:eastAsia="es-MX"/>
        </w:rPr>
        <w:lastRenderedPageBreak/>
        <w:t xml:space="preserve">condiciones que les </w:t>
      </w:r>
      <w:r w:rsidR="00BA5EAC">
        <w:rPr>
          <w:rFonts w:ascii="Times New Roman" w:eastAsia="Times New Roman" w:hAnsi="Times New Roman" w:cs="Times New Roman"/>
          <w:sz w:val="24"/>
          <w:szCs w:val="24"/>
          <w:lang w:eastAsia="es-MX"/>
        </w:rPr>
        <w:t>dificulta enviar a sus hijos a la escuela, en mayor medida que en los hogares jefaturados por no migrantes.</w:t>
      </w:r>
      <w:r w:rsidR="00907BC4">
        <w:rPr>
          <w:rFonts w:ascii="Times New Roman" w:eastAsia="Times New Roman" w:hAnsi="Times New Roman" w:cs="Times New Roman"/>
          <w:sz w:val="24"/>
          <w:szCs w:val="24"/>
          <w:lang w:eastAsia="es-MX"/>
        </w:rPr>
        <w:t xml:space="preserve"> Las desigualdades que se producen en contextos de migración internacional generan que unos obtengan mayores ventajas y otros queden en condiciones de vulnerabilidad.</w:t>
      </w:r>
    </w:p>
    <w:p w14:paraId="7E7988C3" w14:textId="77777777" w:rsidR="005A17FA" w:rsidRDefault="005A17FA" w:rsidP="005613AC">
      <w:pPr>
        <w:spacing w:before="240" w:after="240" w:line="360" w:lineRule="auto"/>
        <w:jc w:val="both"/>
        <w:rPr>
          <w:rFonts w:ascii="Times New Roman" w:eastAsia="Times New Roman" w:hAnsi="Times New Roman" w:cs="Times New Roman"/>
          <w:sz w:val="24"/>
          <w:szCs w:val="24"/>
          <w:lang w:eastAsia="es-MX"/>
        </w:rPr>
      </w:pPr>
    </w:p>
    <w:tbl>
      <w:tblPr>
        <w:tblW w:w="7371" w:type="dxa"/>
        <w:jc w:val="center"/>
        <w:tblCellMar>
          <w:left w:w="70" w:type="dxa"/>
          <w:right w:w="70" w:type="dxa"/>
        </w:tblCellMar>
        <w:tblLook w:val="04A0" w:firstRow="1" w:lastRow="0" w:firstColumn="1" w:lastColumn="0" w:noHBand="0" w:noVBand="1"/>
      </w:tblPr>
      <w:tblGrid>
        <w:gridCol w:w="1154"/>
        <w:gridCol w:w="1965"/>
        <w:gridCol w:w="850"/>
        <w:gridCol w:w="709"/>
        <w:gridCol w:w="851"/>
        <w:gridCol w:w="594"/>
        <w:gridCol w:w="681"/>
        <w:gridCol w:w="594"/>
      </w:tblGrid>
      <w:tr w:rsidR="00195EDA" w:rsidRPr="00236621" w14:paraId="0824449A" w14:textId="77777777" w:rsidTr="00236621">
        <w:trPr>
          <w:trHeight w:val="495"/>
          <w:jc w:val="center"/>
        </w:trPr>
        <w:tc>
          <w:tcPr>
            <w:tcW w:w="7371" w:type="dxa"/>
            <w:gridSpan w:val="8"/>
            <w:tcBorders>
              <w:top w:val="nil"/>
              <w:left w:val="nil"/>
              <w:bottom w:val="double" w:sz="6" w:space="0" w:color="auto"/>
              <w:right w:val="nil"/>
            </w:tcBorders>
            <w:shd w:val="clear" w:color="000000" w:fill="FFFFFF"/>
            <w:noWrap/>
            <w:vAlign w:val="center"/>
            <w:hideMark/>
          </w:tcPr>
          <w:p w14:paraId="499F87A9" w14:textId="77777777" w:rsidR="00195EDA" w:rsidRPr="00AD40BF" w:rsidRDefault="00195EDA" w:rsidP="00195EDA">
            <w:pPr>
              <w:spacing w:after="0" w:line="240" w:lineRule="auto"/>
              <w:jc w:val="center"/>
              <w:rPr>
                <w:rFonts w:ascii="Arial" w:eastAsia="Times New Roman" w:hAnsi="Arial" w:cs="Arial"/>
                <w:b/>
                <w:bCs/>
                <w:sz w:val="24"/>
                <w:szCs w:val="24"/>
                <w:lang w:eastAsia="es-MX"/>
              </w:rPr>
            </w:pPr>
            <w:r w:rsidRPr="00AD40BF">
              <w:rPr>
                <w:rFonts w:ascii="Arial" w:eastAsia="Times New Roman" w:hAnsi="Arial" w:cs="Arial"/>
                <w:b/>
                <w:bCs/>
                <w:sz w:val="24"/>
                <w:szCs w:val="24"/>
                <w:lang w:eastAsia="es-MX"/>
              </w:rPr>
              <w:t>Tabla 3. Tipos de hogar según condición migración de la jefatura y condición de asistencia escolar de los hijos, E.U.M, 2000, 2010 y 2015</w:t>
            </w:r>
          </w:p>
        </w:tc>
      </w:tr>
      <w:tr w:rsidR="00195EDA" w:rsidRPr="00236621" w14:paraId="63B6EB4E" w14:textId="77777777" w:rsidTr="00236621">
        <w:trPr>
          <w:trHeight w:val="600"/>
          <w:jc w:val="center"/>
        </w:trPr>
        <w:tc>
          <w:tcPr>
            <w:tcW w:w="3119" w:type="dxa"/>
            <w:gridSpan w:val="2"/>
            <w:vMerge w:val="restart"/>
            <w:tcBorders>
              <w:top w:val="double" w:sz="6" w:space="0" w:color="auto"/>
              <w:left w:val="nil"/>
              <w:bottom w:val="double" w:sz="6" w:space="0" w:color="000000"/>
              <w:right w:val="nil"/>
            </w:tcBorders>
            <w:shd w:val="clear" w:color="000000" w:fill="FFFFFF"/>
            <w:vAlign w:val="center"/>
            <w:hideMark/>
          </w:tcPr>
          <w:p w14:paraId="72687221"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Tipos de hogar según edad y condición de asistencia de los hijos</w:t>
            </w:r>
          </w:p>
        </w:tc>
        <w:tc>
          <w:tcPr>
            <w:tcW w:w="2410" w:type="dxa"/>
            <w:gridSpan w:val="3"/>
            <w:tcBorders>
              <w:top w:val="double" w:sz="6" w:space="0" w:color="auto"/>
              <w:left w:val="nil"/>
              <w:bottom w:val="double" w:sz="6" w:space="0" w:color="auto"/>
              <w:right w:val="nil"/>
            </w:tcBorders>
            <w:shd w:val="clear" w:color="000000" w:fill="FFFFFF"/>
            <w:vAlign w:val="center"/>
            <w:hideMark/>
          </w:tcPr>
          <w:p w14:paraId="2BEF3FF2"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Hogar con jefatura de retorno de Estados Unidos</w:t>
            </w:r>
          </w:p>
        </w:tc>
        <w:tc>
          <w:tcPr>
            <w:tcW w:w="1842" w:type="dxa"/>
            <w:gridSpan w:val="3"/>
            <w:tcBorders>
              <w:top w:val="double" w:sz="6" w:space="0" w:color="auto"/>
              <w:left w:val="nil"/>
              <w:bottom w:val="double" w:sz="6" w:space="0" w:color="auto"/>
              <w:right w:val="nil"/>
            </w:tcBorders>
            <w:shd w:val="clear" w:color="000000" w:fill="FFFFFF"/>
            <w:vAlign w:val="center"/>
            <w:hideMark/>
          </w:tcPr>
          <w:p w14:paraId="1474E662"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Hogar con jefatura nunca migrante</w:t>
            </w:r>
          </w:p>
        </w:tc>
      </w:tr>
      <w:tr w:rsidR="00195EDA" w:rsidRPr="00236621" w14:paraId="67842391" w14:textId="77777777" w:rsidTr="00236621">
        <w:trPr>
          <w:trHeight w:val="285"/>
          <w:jc w:val="center"/>
        </w:trPr>
        <w:tc>
          <w:tcPr>
            <w:tcW w:w="3119" w:type="dxa"/>
            <w:gridSpan w:val="2"/>
            <w:vMerge/>
            <w:tcBorders>
              <w:top w:val="double" w:sz="6" w:space="0" w:color="auto"/>
              <w:left w:val="nil"/>
              <w:bottom w:val="double" w:sz="6" w:space="0" w:color="000000"/>
              <w:right w:val="nil"/>
            </w:tcBorders>
            <w:vAlign w:val="center"/>
            <w:hideMark/>
          </w:tcPr>
          <w:p w14:paraId="7B6E07E4"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850" w:type="dxa"/>
            <w:tcBorders>
              <w:top w:val="nil"/>
              <w:left w:val="nil"/>
              <w:bottom w:val="double" w:sz="6" w:space="0" w:color="auto"/>
              <w:right w:val="nil"/>
            </w:tcBorders>
            <w:shd w:val="clear" w:color="000000" w:fill="FFFFFF"/>
            <w:vAlign w:val="center"/>
            <w:hideMark/>
          </w:tcPr>
          <w:p w14:paraId="4731BFFF"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2000</w:t>
            </w:r>
          </w:p>
        </w:tc>
        <w:tc>
          <w:tcPr>
            <w:tcW w:w="709" w:type="dxa"/>
            <w:tcBorders>
              <w:top w:val="nil"/>
              <w:left w:val="nil"/>
              <w:bottom w:val="double" w:sz="6" w:space="0" w:color="auto"/>
              <w:right w:val="nil"/>
            </w:tcBorders>
            <w:shd w:val="clear" w:color="000000" w:fill="FFFFFF"/>
            <w:vAlign w:val="center"/>
            <w:hideMark/>
          </w:tcPr>
          <w:p w14:paraId="5A9F7160"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2010</w:t>
            </w:r>
          </w:p>
        </w:tc>
        <w:tc>
          <w:tcPr>
            <w:tcW w:w="851" w:type="dxa"/>
            <w:tcBorders>
              <w:top w:val="nil"/>
              <w:left w:val="nil"/>
              <w:bottom w:val="double" w:sz="6" w:space="0" w:color="auto"/>
              <w:right w:val="nil"/>
            </w:tcBorders>
            <w:shd w:val="clear" w:color="000000" w:fill="FFFFFF"/>
            <w:vAlign w:val="center"/>
            <w:hideMark/>
          </w:tcPr>
          <w:p w14:paraId="31CD649D"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2015</w:t>
            </w:r>
          </w:p>
        </w:tc>
        <w:tc>
          <w:tcPr>
            <w:tcW w:w="594" w:type="dxa"/>
            <w:tcBorders>
              <w:top w:val="nil"/>
              <w:left w:val="nil"/>
              <w:bottom w:val="double" w:sz="6" w:space="0" w:color="auto"/>
              <w:right w:val="nil"/>
            </w:tcBorders>
            <w:shd w:val="clear" w:color="000000" w:fill="FFFFFF"/>
            <w:vAlign w:val="center"/>
            <w:hideMark/>
          </w:tcPr>
          <w:p w14:paraId="2F99B4BA"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2000</w:t>
            </w:r>
          </w:p>
        </w:tc>
        <w:tc>
          <w:tcPr>
            <w:tcW w:w="681" w:type="dxa"/>
            <w:tcBorders>
              <w:top w:val="nil"/>
              <w:left w:val="nil"/>
              <w:bottom w:val="double" w:sz="6" w:space="0" w:color="auto"/>
              <w:right w:val="nil"/>
            </w:tcBorders>
            <w:shd w:val="clear" w:color="000000" w:fill="FFFFFF"/>
            <w:vAlign w:val="center"/>
            <w:hideMark/>
          </w:tcPr>
          <w:p w14:paraId="36B7074E"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2010</w:t>
            </w:r>
          </w:p>
        </w:tc>
        <w:tc>
          <w:tcPr>
            <w:tcW w:w="567" w:type="dxa"/>
            <w:tcBorders>
              <w:top w:val="nil"/>
              <w:left w:val="nil"/>
              <w:bottom w:val="double" w:sz="6" w:space="0" w:color="auto"/>
              <w:right w:val="nil"/>
            </w:tcBorders>
            <w:shd w:val="clear" w:color="000000" w:fill="FFFFFF"/>
            <w:vAlign w:val="center"/>
            <w:hideMark/>
          </w:tcPr>
          <w:p w14:paraId="26A01CF8"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2015</w:t>
            </w:r>
          </w:p>
        </w:tc>
      </w:tr>
      <w:tr w:rsidR="00195EDA" w:rsidRPr="00236621" w14:paraId="52F9DA15" w14:textId="77777777" w:rsidTr="00236621">
        <w:trPr>
          <w:trHeight w:val="270"/>
          <w:jc w:val="center"/>
        </w:trPr>
        <w:tc>
          <w:tcPr>
            <w:tcW w:w="1154" w:type="dxa"/>
            <w:vMerge w:val="restart"/>
            <w:tcBorders>
              <w:top w:val="nil"/>
              <w:left w:val="nil"/>
              <w:bottom w:val="double" w:sz="6" w:space="0" w:color="000000"/>
              <w:right w:val="nil"/>
            </w:tcBorders>
            <w:shd w:val="clear" w:color="000000" w:fill="FFFFFF"/>
            <w:vAlign w:val="center"/>
            <w:hideMark/>
          </w:tcPr>
          <w:p w14:paraId="53556AD5"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Hogares con niños de 6 a 11 años</w:t>
            </w:r>
          </w:p>
        </w:tc>
        <w:tc>
          <w:tcPr>
            <w:tcW w:w="1965" w:type="dxa"/>
            <w:tcBorders>
              <w:top w:val="nil"/>
              <w:left w:val="nil"/>
              <w:bottom w:val="nil"/>
              <w:right w:val="nil"/>
            </w:tcBorders>
            <w:shd w:val="clear" w:color="000000" w:fill="FFFFFF"/>
            <w:vAlign w:val="center"/>
            <w:hideMark/>
          </w:tcPr>
          <w:p w14:paraId="0EF06292"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niños que asisten a la escuela</w:t>
            </w:r>
          </w:p>
        </w:tc>
        <w:tc>
          <w:tcPr>
            <w:tcW w:w="850" w:type="dxa"/>
            <w:tcBorders>
              <w:top w:val="nil"/>
              <w:left w:val="nil"/>
              <w:bottom w:val="nil"/>
              <w:right w:val="nil"/>
            </w:tcBorders>
            <w:shd w:val="clear" w:color="000000" w:fill="FFFFFF"/>
            <w:vAlign w:val="center"/>
            <w:hideMark/>
          </w:tcPr>
          <w:p w14:paraId="370231D0"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95.8%</w:t>
            </w:r>
          </w:p>
        </w:tc>
        <w:tc>
          <w:tcPr>
            <w:tcW w:w="709" w:type="dxa"/>
            <w:tcBorders>
              <w:top w:val="nil"/>
              <w:left w:val="nil"/>
              <w:bottom w:val="nil"/>
              <w:right w:val="nil"/>
            </w:tcBorders>
            <w:shd w:val="clear" w:color="000000" w:fill="FFFFFF"/>
            <w:vAlign w:val="center"/>
            <w:hideMark/>
          </w:tcPr>
          <w:p w14:paraId="6A3DC9EF"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95.9%</w:t>
            </w:r>
          </w:p>
        </w:tc>
        <w:tc>
          <w:tcPr>
            <w:tcW w:w="851" w:type="dxa"/>
            <w:tcBorders>
              <w:top w:val="nil"/>
              <w:left w:val="nil"/>
              <w:bottom w:val="nil"/>
              <w:right w:val="nil"/>
            </w:tcBorders>
            <w:shd w:val="clear" w:color="000000" w:fill="FFFFFF"/>
            <w:vAlign w:val="center"/>
            <w:hideMark/>
          </w:tcPr>
          <w:p w14:paraId="5F78B9B4"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96.6%</w:t>
            </w:r>
          </w:p>
        </w:tc>
        <w:tc>
          <w:tcPr>
            <w:tcW w:w="594" w:type="dxa"/>
            <w:tcBorders>
              <w:top w:val="nil"/>
              <w:left w:val="nil"/>
              <w:bottom w:val="nil"/>
              <w:right w:val="nil"/>
            </w:tcBorders>
            <w:shd w:val="clear" w:color="000000" w:fill="FFFFFF"/>
            <w:vAlign w:val="center"/>
            <w:hideMark/>
          </w:tcPr>
          <w:p w14:paraId="35790D1A"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94.9%</w:t>
            </w:r>
          </w:p>
        </w:tc>
        <w:tc>
          <w:tcPr>
            <w:tcW w:w="681" w:type="dxa"/>
            <w:tcBorders>
              <w:top w:val="nil"/>
              <w:left w:val="nil"/>
              <w:bottom w:val="nil"/>
              <w:right w:val="nil"/>
            </w:tcBorders>
            <w:shd w:val="clear" w:color="000000" w:fill="FFFFFF"/>
            <w:vAlign w:val="center"/>
            <w:hideMark/>
          </w:tcPr>
          <w:p w14:paraId="7FF868B2"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96.0%</w:t>
            </w:r>
          </w:p>
        </w:tc>
        <w:tc>
          <w:tcPr>
            <w:tcW w:w="567" w:type="dxa"/>
            <w:tcBorders>
              <w:top w:val="nil"/>
              <w:left w:val="nil"/>
              <w:bottom w:val="nil"/>
              <w:right w:val="nil"/>
            </w:tcBorders>
            <w:shd w:val="clear" w:color="000000" w:fill="FFFFFF"/>
            <w:vAlign w:val="center"/>
            <w:hideMark/>
          </w:tcPr>
          <w:p w14:paraId="77D57517"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97.6%</w:t>
            </w:r>
          </w:p>
        </w:tc>
      </w:tr>
      <w:tr w:rsidR="00195EDA" w:rsidRPr="00236621" w14:paraId="692A5170" w14:textId="77777777" w:rsidTr="00236621">
        <w:trPr>
          <w:trHeight w:val="510"/>
          <w:jc w:val="center"/>
        </w:trPr>
        <w:tc>
          <w:tcPr>
            <w:tcW w:w="1154" w:type="dxa"/>
            <w:vMerge/>
            <w:tcBorders>
              <w:top w:val="nil"/>
              <w:left w:val="nil"/>
              <w:bottom w:val="double" w:sz="6" w:space="0" w:color="000000"/>
              <w:right w:val="nil"/>
            </w:tcBorders>
            <w:vAlign w:val="center"/>
            <w:hideMark/>
          </w:tcPr>
          <w:p w14:paraId="563032AA"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1965" w:type="dxa"/>
            <w:tcBorders>
              <w:top w:val="nil"/>
              <w:left w:val="nil"/>
              <w:bottom w:val="nil"/>
              <w:right w:val="nil"/>
            </w:tcBorders>
            <w:shd w:val="clear" w:color="000000" w:fill="FFFFFF"/>
            <w:vAlign w:val="center"/>
            <w:hideMark/>
          </w:tcPr>
          <w:p w14:paraId="12149833"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niños donde unos asisten a la escuela y otros no asisten</w:t>
            </w:r>
          </w:p>
        </w:tc>
        <w:tc>
          <w:tcPr>
            <w:tcW w:w="850" w:type="dxa"/>
            <w:tcBorders>
              <w:top w:val="nil"/>
              <w:left w:val="nil"/>
              <w:bottom w:val="nil"/>
              <w:right w:val="nil"/>
            </w:tcBorders>
            <w:shd w:val="clear" w:color="000000" w:fill="FFFFFF"/>
            <w:vAlign w:val="center"/>
            <w:hideMark/>
          </w:tcPr>
          <w:p w14:paraId="3B1F9A58"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1.3%</w:t>
            </w:r>
          </w:p>
        </w:tc>
        <w:tc>
          <w:tcPr>
            <w:tcW w:w="709" w:type="dxa"/>
            <w:tcBorders>
              <w:top w:val="nil"/>
              <w:left w:val="nil"/>
              <w:bottom w:val="nil"/>
              <w:right w:val="nil"/>
            </w:tcBorders>
            <w:shd w:val="clear" w:color="000000" w:fill="FFFFFF"/>
            <w:vAlign w:val="center"/>
            <w:hideMark/>
          </w:tcPr>
          <w:p w14:paraId="4670F630"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0.9%</w:t>
            </w:r>
          </w:p>
        </w:tc>
        <w:tc>
          <w:tcPr>
            <w:tcW w:w="851" w:type="dxa"/>
            <w:tcBorders>
              <w:top w:val="nil"/>
              <w:left w:val="nil"/>
              <w:bottom w:val="nil"/>
              <w:right w:val="nil"/>
            </w:tcBorders>
            <w:shd w:val="clear" w:color="000000" w:fill="FFFFFF"/>
            <w:vAlign w:val="center"/>
            <w:hideMark/>
          </w:tcPr>
          <w:p w14:paraId="76A16F91"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0.7%</w:t>
            </w:r>
          </w:p>
        </w:tc>
        <w:tc>
          <w:tcPr>
            <w:tcW w:w="594" w:type="dxa"/>
            <w:tcBorders>
              <w:top w:val="nil"/>
              <w:left w:val="nil"/>
              <w:bottom w:val="nil"/>
              <w:right w:val="nil"/>
            </w:tcBorders>
            <w:shd w:val="clear" w:color="000000" w:fill="FFFFFF"/>
            <w:vAlign w:val="center"/>
            <w:hideMark/>
          </w:tcPr>
          <w:p w14:paraId="2A420F9A"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2.3%</w:t>
            </w:r>
          </w:p>
        </w:tc>
        <w:tc>
          <w:tcPr>
            <w:tcW w:w="681" w:type="dxa"/>
            <w:tcBorders>
              <w:top w:val="nil"/>
              <w:left w:val="nil"/>
              <w:bottom w:val="nil"/>
              <w:right w:val="nil"/>
            </w:tcBorders>
            <w:shd w:val="clear" w:color="000000" w:fill="FFFFFF"/>
            <w:vAlign w:val="center"/>
            <w:hideMark/>
          </w:tcPr>
          <w:p w14:paraId="435D5F96"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1.5%</w:t>
            </w:r>
          </w:p>
        </w:tc>
        <w:tc>
          <w:tcPr>
            <w:tcW w:w="567" w:type="dxa"/>
            <w:tcBorders>
              <w:top w:val="nil"/>
              <w:left w:val="nil"/>
              <w:bottom w:val="nil"/>
              <w:right w:val="nil"/>
            </w:tcBorders>
            <w:shd w:val="clear" w:color="000000" w:fill="FFFFFF"/>
            <w:vAlign w:val="center"/>
            <w:hideMark/>
          </w:tcPr>
          <w:p w14:paraId="7028D2C2"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0.7%</w:t>
            </w:r>
          </w:p>
        </w:tc>
      </w:tr>
      <w:tr w:rsidR="00195EDA" w:rsidRPr="00236621" w14:paraId="0061FC21" w14:textId="77777777" w:rsidTr="00236621">
        <w:trPr>
          <w:trHeight w:val="270"/>
          <w:jc w:val="center"/>
        </w:trPr>
        <w:tc>
          <w:tcPr>
            <w:tcW w:w="1154" w:type="dxa"/>
            <w:vMerge/>
            <w:tcBorders>
              <w:top w:val="nil"/>
              <w:left w:val="nil"/>
              <w:bottom w:val="double" w:sz="6" w:space="0" w:color="000000"/>
              <w:right w:val="nil"/>
            </w:tcBorders>
            <w:vAlign w:val="center"/>
            <w:hideMark/>
          </w:tcPr>
          <w:p w14:paraId="1783245C"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1965" w:type="dxa"/>
            <w:tcBorders>
              <w:top w:val="nil"/>
              <w:left w:val="nil"/>
              <w:bottom w:val="double" w:sz="6" w:space="0" w:color="auto"/>
              <w:right w:val="nil"/>
            </w:tcBorders>
            <w:shd w:val="clear" w:color="000000" w:fill="FFFFFF"/>
            <w:vAlign w:val="center"/>
            <w:hideMark/>
          </w:tcPr>
          <w:p w14:paraId="1D169BC4"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niños que no asisten a la escuela</w:t>
            </w:r>
          </w:p>
        </w:tc>
        <w:tc>
          <w:tcPr>
            <w:tcW w:w="850" w:type="dxa"/>
            <w:tcBorders>
              <w:top w:val="nil"/>
              <w:left w:val="nil"/>
              <w:bottom w:val="double" w:sz="6" w:space="0" w:color="auto"/>
              <w:right w:val="nil"/>
            </w:tcBorders>
            <w:shd w:val="clear" w:color="000000" w:fill="FFFFFF"/>
            <w:vAlign w:val="center"/>
            <w:hideMark/>
          </w:tcPr>
          <w:p w14:paraId="0762667A"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2.9%</w:t>
            </w:r>
          </w:p>
        </w:tc>
        <w:tc>
          <w:tcPr>
            <w:tcW w:w="709" w:type="dxa"/>
            <w:tcBorders>
              <w:top w:val="nil"/>
              <w:left w:val="nil"/>
              <w:bottom w:val="double" w:sz="6" w:space="0" w:color="auto"/>
              <w:right w:val="nil"/>
            </w:tcBorders>
            <w:shd w:val="clear" w:color="000000" w:fill="FFFFFF"/>
            <w:vAlign w:val="center"/>
            <w:hideMark/>
          </w:tcPr>
          <w:p w14:paraId="6502199B"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3.2%</w:t>
            </w:r>
          </w:p>
        </w:tc>
        <w:tc>
          <w:tcPr>
            <w:tcW w:w="851" w:type="dxa"/>
            <w:tcBorders>
              <w:top w:val="nil"/>
              <w:left w:val="nil"/>
              <w:bottom w:val="double" w:sz="6" w:space="0" w:color="auto"/>
              <w:right w:val="nil"/>
            </w:tcBorders>
            <w:shd w:val="clear" w:color="000000" w:fill="FFFFFF"/>
            <w:vAlign w:val="center"/>
            <w:hideMark/>
          </w:tcPr>
          <w:p w14:paraId="1C9D2D7F"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2.7%</w:t>
            </w:r>
          </w:p>
        </w:tc>
        <w:tc>
          <w:tcPr>
            <w:tcW w:w="594" w:type="dxa"/>
            <w:tcBorders>
              <w:top w:val="nil"/>
              <w:left w:val="nil"/>
              <w:bottom w:val="double" w:sz="6" w:space="0" w:color="auto"/>
              <w:right w:val="nil"/>
            </w:tcBorders>
            <w:shd w:val="clear" w:color="000000" w:fill="FFFFFF"/>
            <w:vAlign w:val="center"/>
            <w:hideMark/>
          </w:tcPr>
          <w:p w14:paraId="54E720FA"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2.8%</w:t>
            </w:r>
          </w:p>
        </w:tc>
        <w:tc>
          <w:tcPr>
            <w:tcW w:w="681" w:type="dxa"/>
            <w:tcBorders>
              <w:top w:val="nil"/>
              <w:left w:val="nil"/>
              <w:bottom w:val="double" w:sz="6" w:space="0" w:color="auto"/>
              <w:right w:val="nil"/>
            </w:tcBorders>
            <w:shd w:val="clear" w:color="000000" w:fill="FFFFFF"/>
            <w:vAlign w:val="center"/>
            <w:hideMark/>
          </w:tcPr>
          <w:p w14:paraId="41E8E75E"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2.5%</w:t>
            </w:r>
          </w:p>
        </w:tc>
        <w:tc>
          <w:tcPr>
            <w:tcW w:w="567" w:type="dxa"/>
            <w:tcBorders>
              <w:top w:val="nil"/>
              <w:left w:val="nil"/>
              <w:bottom w:val="double" w:sz="6" w:space="0" w:color="auto"/>
              <w:right w:val="nil"/>
            </w:tcBorders>
            <w:shd w:val="clear" w:color="000000" w:fill="FFFFFF"/>
            <w:vAlign w:val="center"/>
            <w:hideMark/>
          </w:tcPr>
          <w:p w14:paraId="1F00E51B"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1.6%</w:t>
            </w:r>
          </w:p>
        </w:tc>
      </w:tr>
      <w:tr w:rsidR="00195EDA" w:rsidRPr="00236621" w14:paraId="40B75117" w14:textId="77777777" w:rsidTr="00236621">
        <w:trPr>
          <w:trHeight w:val="255"/>
          <w:jc w:val="center"/>
        </w:trPr>
        <w:tc>
          <w:tcPr>
            <w:tcW w:w="1154" w:type="dxa"/>
            <w:vMerge w:val="restart"/>
            <w:tcBorders>
              <w:top w:val="nil"/>
              <w:left w:val="nil"/>
              <w:bottom w:val="double" w:sz="6" w:space="0" w:color="000000"/>
              <w:right w:val="nil"/>
            </w:tcBorders>
            <w:shd w:val="clear" w:color="000000" w:fill="FFFFFF"/>
            <w:vAlign w:val="center"/>
            <w:hideMark/>
          </w:tcPr>
          <w:p w14:paraId="4A121DC2"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Hogares con niños de 12 a 14 años</w:t>
            </w:r>
          </w:p>
        </w:tc>
        <w:tc>
          <w:tcPr>
            <w:tcW w:w="1965" w:type="dxa"/>
            <w:tcBorders>
              <w:top w:val="nil"/>
              <w:left w:val="nil"/>
              <w:bottom w:val="nil"/>
              <w:right w:val="nil"/>
            </w:tcBorders>
            <w:shd w:val="clear" w:color="000000" w:fill="FFFFFF"/>
            <w:vAlign w:val="center"/>
            <w:hideMark/>
          </w:tcPr>
          <w:p w14:paraId="340C75EB"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niños que asisten a la escuela</w:t>
            </w:r>
          </w:p>
        </w:tc>
        <w:tc>
          <w:tcPr>
            <w:tcW w:w="850" w:type="dxa"/>
            <w:tcBorders>
              <w:top w:val="nil"/>
              <w:left w:val="nil"/>
              <w:bottom w:val="nil"/>
              <w:right w:val="nil"/>
            </w:tcBorders>
            <w:shd w:val="clear" w:color="000000" w:fill="FFFFFF"/>
            <w:vAlign w:val="center"/>
            <w:hideMark/>
          </w:tcPr>
          <w:p w14:paraId="5D148373"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86.1%</w:t>
            </w:r>
          </w:p>
        </w:tc>
        <w:tc>
          <w:tcPr>
            <w:tcW w:w="709" w:type="dxa"/>
            <w:tcBorders>
              <w:top w:val="nil"/>
              <w:left w:val="nil"/>
              <w:bottom w:val="nil"/>
              <w:right w:val="nil"/>
            </w:tcBorders>
            <w:shd w:val="clear" w:color="000000" w:fill="FFFFFF"/>
            <w:vAlign w:val="center"/>
            <w:hideMark/>
          </w:tcPr>
          <w:p w14:paraId="7703ACC3"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88.4%</w:t>
            </w:r>
          </w:p>
        </w:tc>
        <w:tc>
          <w:tcPr>
            <w:tcW w:w="851" w:type="dxa"/>
            <w:tcBorders>
              <w:top w:val="nil"/>
              <w:left w:val="nil"/>
              <w:bottom w:val="nil"/>
              <w:right w:val="nil"/>
            </w:tcBorders>
            <w:shd w:val="clear" w:color="000000" w:fill="FFFFFF"/>
            <w:vAlign w:val="center"/>
            <w:hideMark/>
          </w:tcPr>
          <w:p w14:paraId="6307BACF"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92.7%</w:t>
            </w:r>
          </w:p>
        </w:tc>
        <w:tc>
          <w:tcPr>
            <w:tcW w:w="594" w:type="dxa"/>
            <w:tcBorders>
              <w:top w:val="nil"/>
              <w:left w:val="nil"/>
              <w:bottom w:val="nil"/>
              <w:right w:val="nil"/>
            </w:tcBorders>
            <w:shd w:val="clear" w:color="000000" w:fill="FFFFFF"/>
            <w:vAlign w:val="center"/>
            <w:hideMark/>
          </w:tcPr>
          <w:p w14:paraId="3A968EB6"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84.6%</w:t>
            </w:r>
          </w:p>
        </w:tc>
        <w:tc>
          <w:tcPr>
            <w:tcW w:w="681" w:type="dxa"/>
            <w:tcBorders>
              <w:top w:val="nil"/>
              <w:left w:val="nil"/>
              <w:bottom w:val="nil"/>
              <w:right w:val="nil"/>
            </w:tcBorders>
            <w:shd w:val="clear" w:color="000000" w:fill="FFFFFF"/>
            <w:vAlign w:val="center"/>
            <w:hideMark/>
          </w:tcPr>
          <w:p w14:paraId="3CEDAB18"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90.6%</w:t>
            </w:r>
          </w:p>
        </w:tc>
        <w:tc>
          <w:tcPr>
            <w:tcW w:w="567" w:type="dxa"/>
            <w:tcBorders>
              <w:top w:val="nil"/>
              <w:left w:val="nil"/>
              <w:bottom w:val="nil"/>
              <w:right w:val="nil"/>
            </w:tcBorders>
            <w:shd w:val="clear" w:color="000000" w:fill="FFFFFF"/>
            <w:vAlign w:val="center"/>
            <w:hideMark/>
          </w:tcPr>
          <w:p w14:paraId="04C97C6F"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93.1%</w:t>
            </w:r>
          </w:p>
        </w:tc>
      </w:tr>
      <w:tr w:rsidR="00195EDA" w:rsidRPr="00236621" w14:paraId="6838F2A9" w14:textId="77777777" w:rsidTr="00236621">
        <w:trPr>
          <w:trHeight w:val="510"/>
          <w:jc w:val="center"/>
        </w:trPr>
        <w:tc>
          <w:tcPr>
            <w:tcW w:w="1154" w:type="dxa"/>
            <w:vMerge/>
            <w:tcBorders>
              <w:top w:val="nil"/>
              <w:left w:val="nil"/>
              <w:bottom w:val="double" w:sz="6" w:space="0" w:color="000000"/>
              <w:right w:val="nil"/>
            </w:tcBorders>
            <w:vAlign w:val="center"/>
            <w:hideMark/>
          </w:tcPr>
          <w:p w14:paraId="53AEC3FC"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1965" w:type="dxa"/>
            <w:tcBorders>
              <w:top w:val="nil"/>
              <w:left w:val="nil"/>
              <w:bottom w:val="nil"/>
              <w:right w:val="nil"/>
            </w:tcBorders>
            <w:shd w:val="clear" w:color="000000" w:fill="FFFFFF"/>
            <w:vAlign w:val="center"/>
            <w:hideMark/>
          </w:tcPr>
          <w:p w14:paraId="72A17236"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niños donde unos asisten a la escuela y otros no asisten</w:t>
            </w:r>
          </w:p>
        </w:tc>
        <w:tc>
          <w:tcPr>
            <w:tcW w:w="850" w:type="dxa"/>
            <w:tcBorders>
              <w:top w:val="nil"/>
              <w:left w:val="nil"/>
              <w:bottom w:val="nil"/>
              <w:right w:val="nil"/>
            </w:tcBorders>
            <w:shd w:val="clear" w:color="000000" w:fill="FFFFFF"/>
            <w:vAlign w:val="center"/>
            <w:hideMark/>
          </w:tcPr>
          <w:p w14:paraId="36A76F63"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2.7%</w:t>
            </w:r>
          </w:p>
        </w:tc>
        <w:tc>
          <w:tcPr>
            <w:tcW w:w="709" w:type="dxa"/>
            <w:tcBorders>
              <w:top w:val="nil"/>
              <w:left w:val="nil"/>
              <w:bottom w:val="nil"/>
              <w:right w:val="nil"/>
            </w:tcBorders>
            <w:shd w:val="clear" w:color="000000" w:fill="FFFFFF"/>
            <w:vAlign w:val="center"/>
            <w:hideMark/>
          </w:tcPr>
          <w:p w14:paraId="506906D9"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1.5%</w:t>
            </w:r>
          </w:p>
        </w:tc>
        <w:tc>
          <w:tcPr>
            <w:tcW w:w="851" w:type="dxa"/>
            <w:tcBorders>
              <w:top w:val="nil"/>
              <w:left w:val="nil"/>
              <w:bottom w:val="nil"/>
              <w:right w:val="nil"/>
            </w:tcBorders>
            <w:shd w:val="clear" w:color="000000" w:fill="FFFFFF"/>
            <w:vAlign w:val="center"/>
            <w:hideMark/>
          </w:tcPr>
          <w:p w14:paraId="6838A386"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1.3%</w:t>
            </w:r>
          </w:p>
        </w:tc>
        <w:tc>
          <w:tcPr>
            <w:tcW w:w="594" w:type="dxa"/>
            <w:tcBorders>
              <w:top w:val="nil"/>
              <w:left w:val="nil"/>
              <w:bottom w:val="nil"/>
              <w:right w:val="nil"/>
            </w:tcBorders>
            <w:shd w:val="clear" w:color="000000" w:fill="FFFFFF"/>
            <w:vAlign w:val="center"/>
            <w:hideMark/>
          </w:tcPr>
          <w:p w14:paraId="5FE62CB6"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3.5%</w:t>
            </w:r>
          </w:p>
        </w:tc>
        <w:tc>
          <w:tcPr>
            <w:tcW w:w="681" w:type="dxa"/>
            <w:tcBorders>
              <w:top w:val="nil"/>
              <w:left w:val="nil"/>
              <w:bottom w:val="nil"/>
              <w:right w:val="nil"/>
            </w:tcBorders>
            <w:shd w:val="clear" w:color="000000" w:fill="FFFFFF"/>
            <w:vAlign w:val="center"/>
            <w:hideMark/>
          </w:tcPr>
          <w:p w14:paraId="1C4E2493"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1.7%</w:t>
            </w:r>
          </w:p>
        </w:tc>
        <w:tc>
          <w:tcPr>
            <w:tcW w:w="567" w:type="dxa"/>
            <w:tcBorders>
              <w:top w:val="nil"/>
              <w:left w:val="nil"/>
              <w:bottom w:val="nil"/>
              <w:right w:val="nil"/>
            </w:tcBorders>
            <w:shd w:val="clear" w:color="000000" w:fill="FFFFFF"/>
            <w:vAlign w:val="center"/>
            <w:hideMark/>
          </w:tcPr>
          <w:p w14:paraId="7CDDE8CD"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1.2%</w:t>
            </w:r>
          </w:p>
        </w:tc>
      </w:tr>
      <w:tr w:rsidR="00195EDA" w:rsidRPr="00236621" w14:paraId="4070D4C2" w14:textId="77777777" w:rsidTr="00236621">
        <w:trPr>
          <w:trHeight w:val="270"/>
          <w:jc w:val="center"/>
        </w:trPr>
        <w:tc>
          <w:tcPr>
            <w:tcW w:w="1154" w:type="dxa"/>
            <w:vMerge/>
            <w:tcBorders>
              <w:top w:val="nil"/>
              <w:left w:val="nil"/>
              <w:bottom w:val="double" w:sz="6" w:space="0" w:color="000000"/>
              <w:right w:val="nil"/>
            </w:tcBorders>
            <w:vAlign w:val="center"/>
            <w:hideMark/>
          </w:tcPr>
          <w:p w14:paraId="6BC236B3"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1965" w:type="dxa"/>
            <w:tcBorders>
              <w:top w:val="nil"/>
              <w:left w:val="nil"/>
              <w:bottom w:val="double" w:sz="6" w:space="0" w:color="auto"/>
              <w:right w:val="nil"/>
            </w:tcBorders>
            <w:shd w:val="clear" w:color="000000" w:fill="FFFFFF"/>
            <w:vAlign w:val="center"/>
            <w:hideMark/>
          </w:tcPr>
          <w:p w14:paraId="14B97428"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niños que no asisten a la escuela</w:t>
            </w:r>
          </w:p>
        </w:tc>
        <w:tc>
          <w:tcPr>
            <w:tcW w:w="850" w:type="dxa"/>
            <w:tcBorders>
              <w:top w:val="nil"/>
              <w:left w:val="nil"/>
              <w:bottom w:val="double" w:sz="6" w:space="0" w:color="auto"/>
              <w:right w:val="nil"/>
            </w:tcBorders>
            <w:shd w:val="clear" w:color="000000" w:fill="FFFFFF"/>
            <w:vAlign w:val="center"/>
            <w:hideMark/>
          </w:tcPr>
          <w:p w14:paraId="29A9D137"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11.1%</w:t>
            </w:r>
          </w:p>
        </w:tc>
        <w:tc>
          <w:tcPr>
            <w:tcW w:w="709" w:type="dxa"/>
            <w:tcBorders>
              <w:top w:val="nil"/>
              <w:left w:val="nil"/>
              <w:bottom w:val="double" w:sz="6" w:space="0" w:color="auto"/>
              <w:right w:val="nil"/>
            </w:tcBorders>
            <w:shd w:val="clear" w:color="000000" w:fill="FFFFFF"/>
            <w:vAlign w:val="center"/>
            <w:hideMark/>
          </w:tcPr>
          <w:p w14:paraId="72CBE4AC"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10.1%</w:t>
            </w:r>
          </w:p>
        </w:tc>
        <w:tc>
          <w:tcPr>
            <w:tcW w:w="851" w:type="dxa"/>
            <w:tcBorders>
              <w:top w:val="nil"/>
              <w:left w:val="nil"/>
              <w:bottom w:val="double" w:sz="6" w:space="0" w:color="auto"/>
              <w:right w:val="nil"/>
            </w:tcBorders>
            <w:shd w:val="clear" w:color="000000" w:fill="FFFFFF"/>
            <w:vAlign w:val="center"/>
            <w:hideMark/>
          </w:tcPr>
          <w:p w14:paraId="13109572"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6.0%</w:t>
            </w:r>
          </w:p>
        </w:tc>
        <w:tc>
          <w:tcPr>
            <w:tcW w:w="594" w:type="dxa"/>
            <w:tcBorders>
              <w:top w:val="nil"/>
              <w:left w:val="nil"/>
              <w:bottom w:val="double" w:sz="6" w:space="0" w:color="auto"/>
              <w:right w:val="nil"/>
            </w:tcBorders>
            <w:shd w:val="clear" w:color="000000" w:fill="FFFFFF"/>
            <w:vAlign w:val="center"/>
            <w:hideMark/>
          </w:tcPr>
          <w:p w14:paraId="7E41ECBC"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11.9%</w:t>
            </w:r>
          </w:p>
        </w:tc>
        <w:tc>
          <w:tcPr>
            <w:tcW w:w="681" w:type="dxa"/>
            <w:tcBorders>
              <w:top w:val="nil"/>
              <w:left w:val="nil"/>
              <w:bottom w:val="double" w:sz="6" w:space="0" w:color="auto"/>
              <w:right w:val="nil"/>
            </w:tcBorders>
            <w:shd w:val="clear" w:color="000000" w:fill="FFFFFF"/>
            <w:vAlign w:val="center"/>
            <w:hideMark/>
          </w:tcPr>
          <w:p w14:paraId="4223DC96"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7.7%</w:t>
            </w:r>
          </w:p>
        </w:tc>
        <w:tc>
          <w:tcPr>
            <w:tcW w:w="567" w:type="dxa"/>
            <w:tcBorders>
              <w:top w:val="nil"/>
              <w:left w:val="nil"/>
              <w:bottom w:val="double" w:sz="6" w:space="0" w:color="auto"/>
              <w:right w:val="nil"/>
            </w:tcBorders>
            <w:shd w:val="clear" w:color="000000" w:fill="FFFFFF"/>
            <w:vAlign w:val="center"/>
            <w:hideMark/>
          </w:tcPr>
          <w:p w14:paraId="74D23CBB"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5.8%</w:t>
            </w:r>
          </w:p>
        </w:tc>
      </w:tr>
      <w:tr w:rsidR="00195EDA" w:rsidRPr="00236621" w14:paraId="26817801" w14:textId="77777777" w:rsidTr="00236621">
        <w:trPr>
          <w:trHeight w:val="525"/>
          <w:jc w:val="center"/>
        </w:trPr>
        <w:tc>
          <w:tcPr>
            <w:tcW w:w="1154" w:type="dxa"/>
            <w:vMerge w:val="restart"/>
            <w:tcBorders>
              <w:top w:val="nil"/>
              <w:left w:val="nil"/>
              <w:bottom w:val="double" w:sz="6" w:space="0" w:color="000000"/>
              <w:right w:val="nil"/>
            </w:tcBorders>
            <w:shd w:val="clear" w:color="000000" w:fill="FFFFFF"/>
            <w:vAlign w:val="center"/>
            <w:hideMark/>
          </w:tcPr>
          <w:p w14:paraId="439EF603"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Hogares con adolescentes de 15 a 17 años</w:t>
            </w:r>
          </w:p>
        </w:tc>
        <w:tc>
          <w:tcPr>
            <w:tcW w:w="1965" w:type="dxa"/>
            <w:tcBorders>
              <w:top w:val="nil"/>
              <w:left w:val="nil"/>
              <w:bottom w:val="nil"/>
              <w:right w:val="nil"/>
            </w:tcBorders>
            <w:shd w:val="clear" w:color="000000" w:fill="FFFFFF"/>
            <w:vAlign w:val="center"/>
            <w:hideMark/>
          </w:tcPr>
          <w:p w14:paraId="44509B45"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adolescentes que asisten a la escuela</w:t>
            </w:r>
          </w:p>
        </w:tc>
        <w:tc>
          <w:tcPr>
            <w:tcW w:w="850" w:type="dxa"/>
            <w:tcBorders>
              <w:top w:val="nil"/>
              <w:left w:val="nil"/>
              <w:bottom w:val="nil"/>
              <w:right w:val="nil"/>
            </w:tcBorders>
            <w:shd w:val="clear" w:color="000000" w:fill="FFFFFF"/>
            <w:vAlign w:val="center"/>
            <w:hideMark/>
          </w:tcPr>
          <w:p w14:paraId="63617929"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53.2%</w:t>
            </w:r>
          </w:p>
        </w:tc>
        <w:tc>
          <w:tcPr>
            <w:tcW w:w="709" w:type="dxa"/>
            <w:tcBorders>
              <w:top w:val="nil"/>
              <w:left w:val="nil"/>
              <w:bottom w:val="nil"/>
              <w:right w:val="nil"/>
            </w:tcBorders>
            <w:shd w:val="clear" w:color="000000" w:fill="FFFFFF"/>
            <w:vAlign w:val="center"/>
            <w:hideMark/>
          </w:tcPr>
          <w:p w14:paraId="2D720498"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62.6%</w:t>
            </w:r>
          </w:p>
        </w:tc>
        <w:tc>
          <w:tcPr>
            <w:tcW w:w="851" w:type="dxa"/>
            <w:tcBorders>
              <w:top w:val="nil"/>
              <w:left w:val="nil"/>
              <w:bottom w:val="nil"/>
              <w:right w:val="nil"/>
            </w:tcBorders>
            <w:shd w:val="clear" w:color="000000" w:fill="FFFFFF"/>
            <w:vAlign w:val="center"/>
            <w:hideMark/>
          </w:tcPr>
          <w:p w14:paraId="0A2707E0"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69.1%</w:t>
            </w:r>
          </w:p>
        </w:tc>
        <w:tc>
          <w:tcPr>
            <w:tcW w:w="594" w:type="dxa"/>
            <w:tcBorders>
              <w:top w:val="nil"/>
              <w:left w:val="nil"/>
              <w:bottom w:val="nil"/>
              <w:right w:val="nil"/>
            </w:tcBorders>
            <w:shd w:val="clear" w:color="000000" w:fill="FFFFFF"/>
            <w:vAlign w:val="center"/>
            <w:hideMark/>
          </w:tcPr>
          <w:p w14:paraId="1665C8E3"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54.5%</w:t>
            </w:r>
          </w:p>
        </w:tc>
        <w:tc>
          <w:tcPr>
            <w:tcW w:w="681" w:type="dxa"/>
            <w:tcBorders>
              <w:top w:val="nil"/>
              <w:left w:val="nil"/>
              <w:bottom w:val="nil"/>
              <w:right w:val="nil"/>
            </w:tcBorders>
            <w:shd w:val="clear" w:color="000000" w:fill="FFFFFF"/>
            <w:vAlign w:val="center"/>
            <w:hideMark/>
          </w:tcPr>
          <w:p w14:paraId="59D85BE5"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66.1%</w:t>
            </w:r>
          </w:p>
        </w:tc>
        <w:tc>
          <w:tcPr>
            <w:tcW w:w="567" w:type="dxa"/>
            <w:tcBorders>
              <w:top w:val="nil"/>
              <w:left w:val="nil"/>
              <w:bottom w:val="nil"/>
              <w:right w:val="nil"/>
            </w:tcBorders>
            <w:shd w:val="clear" w:color="000000" w:fill="FFFFFF"/>
            <w:vAlign w:val="center"/>
            <w:hideMark/>
          </w:tcPr>
          <w:p w14:paraId="5C4A3934"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72.8%</w:t>
            </w:r>
          </w:p>
        </w:tc>
      </w:tr>
      <w:tr w:rsidR="00195EDA" w:rsidRPr="00236621" w14:paraId="29B5DD0D" w14:textId="77777777" w:rsidTr="00236621">
        <w:trPr>
          <w:trHeight w:val="510"/>
          <w:jc w:val="center"/>
        </w:trPr>
        <w:tc>
          <w:tcPr>
            <w:tcW w:w="1154" w:type="dxa"/>
            <w:vMerge/>
            <w:tcBorders>
              <w:top w:val="nil"/>
              <w:left w:val="nil"/>
              <w:bottom w:val="double" w:sz="6" w:space="0" w:color="000000"/>
              <w:right w:val="nil"/>
            </w:tcBorders>
            <w:vAlign w:val="center"/>
            <w:hideMark/>
          </w:tcPr>
          <w:p w14:paraId="4FE5785B"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1965" w:type="dxa"/>
            <w:tcBorders>
              <w:top w:val="nil"/>
              <w:left w:val="nil"/>
              <w:bottom w:val="nil"/>
              <w:right w:val="nil"/>
            </w:tcBorders>
            <w:shd w:val="clear" w:color="000000" w:fill="FFFFFF"/>
            <w:vAlign w:val="center"/>
            <w:hideMark/>
          </w:tcPr>
          <w:p w14:paraId="31472B87"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adolescentes donde unos asisten a la escuela y otros no asisten</w:t>
            </w:r>
          </w:p>
        </w:tc>
        <w:tc>
          <w:tcPr>
            <w:tcW w:w="850" w:type="dxa"/>
            <w:tcBorders>
              <w:top w:val="nil"/>
              <w:left w:val="nil"/>
              <w:bottom w:val="nil"/>
              <w:right w:val="nil"/>
            </w:tcBorders>
            <w:shd w:val="clear" w:color="000000" w:fill="FFFFFF"/>
            <w:vAlign w:val="center"/>
            <w:hideMark/>
          </w:tcPr>
          <w:p w14:paraId="125DA62C"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5.5%</w:t>
            </w:r>
          </w:p>
        </w:tc>
        <w:tc>
          <w:tcPr>
            <w:tcW w:w="709" w:type="dxa"/>
            <w:tcBorders>
              <w:top w:val="nil"/>
              <w:left w:val="nil"/>
              <w:bottom w:val="nil"/>
              <w:right w:val="nil"/>
            </w:tcBorders>
            <w:shd w:val="clear" w:color="000000" w:fill="FFFFFF"/>
            <w:vAlign w:val="center"/>
            <w:hideMark/>
          </w:tcPr>
          <w:p w14:paraId="2DBCAE71"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4.6%</w:t>
            </w:r>
          </w:p>
        </w:tc>
        <w:tc>
          <w:tcPr>
            <w:tcW w:w="851" w:type="dxa"/>
            <w:tcBorders>
              <w:top w:val="nil"/>
              <w:left w:val="nil"/>
              <w:bottom w:val="nil"/>
              <w:right w:val="nil"/>
            </w:tcBorders>
            <w:shd w:val="clear" w:color="000000" w:fill="FFFFFF"/>
            <w:vAlign w:val="center"/>
            <w:hideMark/>
          </w:tcPr>
          <w:p w14:paraId="3A7CF154"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2.6%</w:t>
            </w:r>
          </w:p>
        </w:tc>
        <w:tc>
          <w:tcPr>
            <w:tcW w:w="594" w:type="dxa"/>
            <w:tcBorders>
              <w:top w:val="nil"/>
              <w:left w:val="nil"/>
              <w:bottom w:val="nil"/>
              <w:right w:val="nil"/>
            </w:tcBorders>
            <w:shd w:val="clear" w:color="000000" w:fill="FFFFFF"/>
            <w:vAlign w:val="center"/>
            <w:hideMark/>
          </w:tcPr>
          <w:p w14:paraId="6642F9E8"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5.3%</w:t>
            </w:r>
          </w:p>
        </w:tc>
        <w:tc>
          <w:tcPr>
            <w:tcW w:w="681" w:type="dxa"/>
            <w:tcBorders>
              <w:top w:val="nil"/>
              <w:left w:val="nil"/>
              <w:bottom w:val="nil"/>
              <w:right w:val="nil"/>
            </w:tcBorders>
            <w:shd w:val="clear" w:color="000000" w:fill="FFFFFF"/>
            <w:vAlign w:val="center"/>
            <w:hideMark/>
          </w:tcPr>
          <w:p w14:paraId="327A23AE"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4.5%</w:t>
            </w:r>
          </w:p>
        </w:tc>
        <w:tc>
          <w:tcPr>
            <w:tcW w:w="567" w:type="dxa"/>
            <w:tcBorders>
              <w:top w:val="nil"/>
              <w:left w:val="nil"/>
              <w:bottom w:val="nil"/>
              <w:right w:val="nil"/>
            </w:tcBorders>
            <w:shd w:val="clear" w:color="000000" w:fill="FFFFFF"/>
            <w:vAlign w:val="center"/>
            <w:hideMark/>
          </w:tcPr>
          <w:p w14:paraId="12B7A15B"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3.0%</w:t>
            </w:r>
          </w:p>
        </w:tc>
      </w:tr>
      <w:tr w:rsidR="00195EDA" w:rsidRPr="00236621" w14:paraId="0A2D66F3" w14:textId="77777777" w:rsidTr="00236621">
        <w:trPr>
          <w:trHeight w:val="525"/>
          <w:jc w:val="center"/>
        </w:trPr>
        <w:tc>
          <w:tcPr>
            <w:tcW w:w="1154" w:type="dxa"/>
            <w:vMerge/>
            <w:tcBorders>
              <w:top w:val="nil"/>
              <w:left w:val="nil"/>
              <w:bottom w:val="double" w:sz="6" w:space="0" w:color="000000"/>
              <w:right w:val="nil"/>
            </w:tcBorders>
            <w:vAlign w:val="center"/>
            <w:hideMark/>
          </w:tcPr>
          <w:p w14:paraId="40EE1004"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1965" w:type="dxa"/>
            <w:tcBorders>
              <w:top w:val="nil"/>
              <w:left w:val="nil"/>
              <w:bottom w:val="double" w:sz="6" w:space="0" w:color="auto"/>
              <w:right w:val="nil"/>
            </w:tcBorders>
            <w:shd w:val="clear" w:color="000000" w:fill="FFFFFF"/>
            <w:vAlign w:val="center"/>
            <w:hideMark/>
          </w:tcPr>
          <w:p w14:paraId="07E9508F"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adolescentes que no asisten a la escuela</w:t>
            </w:r>
          </w:p>
        </w:tc>
        <w:tc>
          <w:tcPr>
            <w:tcW w:w="850" w:type="dxa"/>
            <w:tcBorders>
              <w:top w:val="nil"/>
              <w:left w:val="nil"/>
              <w:bottom w:val="double" w:sz="6" w:space="0" w:color="auto"/>
              <w:right w:val="nil"/>
            </w:tcBorders>
            <w:shd w:val="clear" w:color="000000" w:fill="FFFFFF"/>
            <w:vAlign w:val="center"/>
            <w:hideMark/>
          </w:tcPr>
          <w:p w14:paraId="1CC42F08"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41.3%</w:t>
            </w:r>
          </w:p>
        </w:tc>
        <w:tc>
          <w:tcPr>
            <w:tcW w:w="709" w:type="dxa"/>
            <w:tcBorders>
              <w:top w:val="nil"/>
              <w:left w:val="nil"/>
              <w:bottom w:val="double" w:sz="6" w:space="0" w:color="auto"/>
              <w:right w:val="nil"/>
            </w:tcBorders>
            <w:shd w:val="clear" w:color="000000" w:fill="FFFFFF"/>
            <w:vAlign w:val="center"/>
            <w:hideMark/>
          </w:tcPr>
          <w:p w14:paraId="2D4CF869"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32.8%</w:t>
            </w:r>
          </w:p>
        </w:tc>
        <w:tc>
          <w:tcPr>
            <w:tcW w:w="851" w:type="dxa"/>
            <w:tcBorders>
              <w:top w:val="nil"/>
              <w:left w:val="nil"/>
              <w:bottom w:val="double" w:sz="6" w:space="0" w:color="auto"/>
              <w:right w:val="nil"/>
            </w:tcBorders>
            <w:shd w:val="clear" w:color="000000" w:fill="FFFFFF"/>
            <w:vAlign w:val="center"/>
            <w:hideMark/>
          </w:tcPr>
          <w:p w14:paraId="7CE297F4"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28.3%</w:t>
            </w:r>
          </w:p>
        </w:tc>
        <w:tc>
          <w:tcPr>
            <w:tcW w:w="594" w:type="dxa"/>
            <w:tcBorders>
              <w:top w:val="nil"/>
              <w:left w:val="nil"/>
              <w:bottom w:val="double" w:sz="6" w:space="0" w:color="auto"/>
              <w:right w:val="nil"/>
            </w:tcBorders>
            <w:shd w:val="clear" w:color="000000" w:fill="FFFFFF"/>
            <w:vAlign w:val="center"/>
            <w:hideMark/>
          </w:tcPr>
          <w:p w14:paraId="1BEC543E"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40.1%</w:t>
            </w:r>
          </w:p>
        </w:tc>
        <w:tc>
          <w:tcPr>
            <w:tcW w:w="681" w:type="dxa"/>
            <w:tcBorders>
              <w:top w:val="nil"/>
              <w:left w:val="nil"/>
              <w:bottom w:val="double" w:sz="6" w:space="0" w:color="auto"/>
              <w:right w:val="nil"/>
            </w:tcBorders>
            <w:shd w:val="clear" w:color="000000" w:fill="FFFFFF"/>
            <w:vAlign w:val="center"/>
            <w:hideMark/>
          </w:tcPr>
          <w:p w14:paraId="546897E1"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29.4%</w:t>
            </w:r>
          </w:p>
        </w:tc>
        <w:tc>
          <w:tcPr>
            <w:tcW w:w="567" w:type="dxa"/>
            <w:tcBorders>
              <w:top w:val="nil"/>
              <w:left w:val="nil"/>
              <w:bottom w:val="double" w:sz="6" w:space="0" w:color="auto"/>
              <w:right w:val="nil"/>
            </w:tcBorders>
            <w:shd w:val="clear" w:color="000000" w:fill="FFFFFF"/>
            <w:vAlign w:val="center"/>
            <w:hideMark/>
          </w:tcPr>
          <w:p w14:paraId="4B9765E9"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24.2%</w:t>
            </w:r>
          </w:p>
        </w:tc>
      </w:tr>
      <w:tr w:rsidR="00195EDA" w:rsidRPr="00236621" w14:paraId="3CD55E12" w14:textId="77777777" w:rsidTr="00236621">
        <w:trPr>
          <w:trHeight w:val="270"/>
          <w:jc w:val="center"/>
        </w:trPr>
        <w:tc>
          <w:tcPr>
            <w:tcW w:w="1154" w:type="dxa"/>
            <w:vMerge w:val="restart"/>
            <w:tcBorders>
              <w:top w:val="nil"/>
              <w:left w:val="nil"/>
              <w:bottom w:val="double" w:sz="6" w:space="0" w:color="000000"/>
              <w:right w:val="nil"/>
            </w:tcBorders>
            <w:shd w:val="clear" w:color="000000" w:fill="FFFFFF"/>
            <w:vAlign w:val="center"/>
            <w:hideMark/>
          </w:tcPr>
          <w:p w14:paraId="0AD340D0" w14:textId="77777777" w:rsidR="00195EDA" w:rsidRPr="00AD40BF" w:rsidRDefault="00195EDA" w:rsidP="00195EDA">
            <w:pPr>
              <w:spacing w:after="0" w:line="240" w:lineRule="auto"/>
              <w:jc w:val="center"/>
              <w:rPr>
                <w:rFonts w:ascii="Arial" w:eastAsia="Times New Roman" w:hAnsi="Arial" w:cs="Arial"/>
                <w:b/>
                <w:bCs/>
                <w:sz w:val="16"/>
                <w:szCs w:val="16"/>
                <w:lang w:eastAsia="es-MX"/>
              </w:rPr>
            </w:pPr>
            <w:r w:rsidRPr="00AD40BF">
              <w:rPr>
                <w:rFonts w:ascii="Arial" w:eastAsia="Times New Roman" w:hAnsi="Arial" w:cs="Arial"/>
                <w:b/>
                <w:bCs/>
                <w:sz w:val="16"/>
                <w:szCs w:val="16"/>
                <w:lang w:eastAsia="es-MX"/>
              </w:rPr>
              <w:t>Hogares con jóvenes de 18 a 22 años</w:t>
            </w:r>
          </w:p>
        </w:tc>
        <w:tc>
          <w:tcPr>
            <w:tcW w:w="1965" w:type="dxa"/>
            <w:tcBorders>
              <w:top w:val="nil"/>
              <w:left w:val="nil"/>
              <w:bottom w:val="nil"/>
              <w:right w:val="nil"/>
            </w:tcBorders>
            <w:shd w:val="clear" w:color="000000" w:fill="FFFFFF"/>
            <w:vAlign w:val="center"/>
            <w:hideMark/>
          </w:tcPr>
          <w:p w14:paraId="656A1871"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jóvenes que asisten a la escuela</w:t>
            </w:r>
          </w:p>
        </w:tc>
        <w:tc>
          <w:tcPr>
            <w:tcW w:w="850" w:type="dxa"/>
            <w:tcBorders>
              <w:top w:val="nil"/>
              <w:left w:val="nil"/>
              <w:bottom w:val="nil"/>
              <w:right w:val="nil"/>
            </w:tcBorders>
            <w:shd w:val="clear" w:color="000000" w:fill="FFFFFF"/>
            <w:vAlign w:val="center"/>
            <w:hideMark/>
          </w:tcPr>
          <w:p w14:paraId="32389FB0"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20.5%</w:t>
            </w:r>
          </w:p>
        </w:tc>
        <w:tc>
          <w:tcPr>
            <w:tcW w:w="709" w:type="dxa"/>
            <w:tcBorders>
              <w:top w:val="nil"/>
              <w:left w:val="nil"/>
              <w:bottom w:val="nil"/>
              <w:right w:val="nil"/>
            </w:tcBorders>
            <w:shd w:val="clear" w:color="000000" w:fill="FFFFFF"/>
            <w:vAlign w:val="center"/>
            <w:hideMark/>
          </w:tcPr>
          <w:p w14:paraId="4152E759"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23.9%</w:t>
            </w:r>
          </w:p>
        </w:tc>
        <w:tc>
          <w:tcPr>
            <w:tcW w:w="851" w:type="dxa"/>
            <w:tcBorders>
              <w:top w:val="nil"/>
              <w:left w:val="nil"/>
              <w:bottom w:val="nil"/>
              <w:right w:val="nil"/>
            </w:tcBorders>
            <w:shd w:val="clear" w:color="000000" w:fill="FFFFFF"/>
            <w:vAlign w:val="center"/>
            <w:hideMark/>
          </w:tcPr>
          <w:p w14:paraId="248214F4"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30.5%</w:t>
            </w:r>
          </w:p>
        </w:tc>
        <w:tc>
          <w:tcPr>
            <w:tcW w:w="594" w:type="dxa"/>
            <w:tcBorders>
              <w:top w:val="nil"/>
              <w:left w:val="nil"/>
              <w:bottom w:val="nil"/>
              <w:right w:val="nil"/>
            </w:tcBorders>
            <w:shd w:val="clear" w:color="000000" w:fill="FFFFFF"/>
            <w:vAlign w:val="center"/>
            <w:hideMark/>
          </w:tcPr>
          <w:p w14:paraId="2D6AA364"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24.7%</w:t>
            </w:r>
          </w:p>
        </w:tc>
        <w:tc>
          <w:tcPr>
            <w:tcW w:w="681" w:type="dxa"/>
            <w:tcBorders>
              <w:top w:val="nil"/>
              <w:left w:val="nil"/>
              <w:bottom w:val="nil"/>
              <w:right w:val="nil"/>
            </w:tcBorders>
            <w:shd w:val="clear" w:color="000000" w:fill="FFFFFF"/>
            <w:vAlign w:val="center"/>
            <w:hideMark/>
          </w:tcPr>
          <w:p w14:paraId="6F0B097E"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32.7%</w:t>
            </w:r>
          </w:p>
        </w:tc>
        <w:tc>
          <w:tcPr>
            <w:tcW w:w="567" w:type="dxa"/>
            <w:tcBorders>
              <w:top w:val="nil"/>
              <w:left w:val="nil"/>
              <w:bottom w:val="nil"/>
              <w:right w:val="nil"/>
            </w:tcBorders>
            <w:shd w:val="clear" w:color="000000" w:fill="FFFFFF"/>
            <w:vAlign w:val="center"/>
            <w:hideMark/>
          </w:tcPr>
          <w:p w14:paraId="157822A2"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36.4%</w:t>
            </w:r>
          </w:p>
        </w:tc>
      </w:tr>
      <w:tr w:rsidR="00195EDA" w:rsidRPr="00236621" w14:paraId="5494377E" w14:textId="77777777" w:rsidTr="00236621">
        <w:trPr>
          <w:trHeight w:val="510"/>
          <w:jc w:val="center"/>
        </w:trPr>
        <w:tc>
          <w:tcPr>
            <w:tcW w:w="1154" w:type="dxa"/>
            <w:vMerge/>
            <w:tcBorders>
              <w:top w:val="nil"/>
              <w:left w:val="nil"/>
              <w:bottom w:val="double" w:sz="6" w:space="0" w:color="000000"/>
              <w:right w:val="nil"/>
            </w:tcBorders>
            <w:vAlign w:val="center"/>
            <w:hideMark/>
          </w:tcPr>
          <w:p w14:paraId="60869B60"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1965" w:type="dxa"/>
            <w:tcBorders>
              <w:top w:val="nil"/>
              <w:left w:val="nil"/>
              <w:bottom w:val="nil"/>
              <w:right w:val="nil"/>
            </w:tcBorders>
            <w:shd w:val="clear" w:color="000000" w:fill="FFFFFF"/>
            <w:vAlign w:val="center"/>
            <w:hideMark/>
          </w:tcPr>
          <w:p w14:paraId="27038C9D"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jóvenes donde unos asisten a la escuela y otros no asisten</w:t>
            </w:r>
          </w:p>
        </w:tc>
        <w:tc>
          <w:tcPr>
            <w:tcW w:w="850" w:type="dxa"/>
            <w:tcBorders>
              <w:top w:val="nil"/>
              <w:left w:val="nil"/>
              <w:bottom w:val="nil"/>
              <w:right w:val="nil"/>
            </w:tcBorders>
            <w:shd w:val="clear" w:color="000000" w:fill="FFFFFF"/>
            <w:vAlign w:val="center"/>
            <w:hideMark/>
          </w:tcPr>
          <w:p w14:paraId="4E363B9A"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4.2%</w:t>
            </w:r>
          </w:p>
        </w:tc>
        <w:tc>
          <w:tcPr>
            <w:tcW w:w="709" w:type="dxa"/>
            <w:tcBorders>
              <w:top w:val="nil"/>
              <w:left w:val="nil"/>
              <w:bottom w:val="nil"/>
              <w:right w:val="nil"/>
            </w:tcBorders>
            <w:shd w:val="clear" w:color="000000" w:fill="FFFFFF"/>
            <w:vAlign w:val="center"/>
            <w:hideMark/>
          </w:tcPr>
          <w:p w14:paraId="11995140"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4.2%</w:t>
            </w:r>
          </w:p>
        </w:tc>
        <w:tc>
          <w:tcPr>
            <w:tcW w:w="851" w:type="dxa"/>
            <w:tcBorders>
              <w:top w:val="nil"/>
              <w:left w:val="nil"/>
              <w:bottom w:val="nil"/>
              <w:right w:val="nil"/>
            </w:tcBorders>
            <w:shd w:val="clear" w:color="000000" w:fill="FFFFFF"/>
            <w:vAlign w:val="center"/>
            <w:hideMark/>
          </w:tcPr>
          <w:p w14:paraId="41CEB09C"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4.0%</w:t>
            </w:r>
          </w:p>
        </w:tc>
        <w:tc>
          <w:tcPr>
            <w:tcW w:w="594" w:type="dxa"/>
            <w:tcBorders>
              <w:top w:val="nil"/>
              <w:left w:val="nil"/>
              <w:bottom w:val="nil"/>
              <w:right w:val="nil"/>
            </w:tcBorders>
            <w:shd w:val="clear" w:color="000000" w:fill="FFFFFF"/>
            <w:vAlign w:val="center"/>
            <w:hideMark/>
          </w:tcPr>
          <w:p w14:paraId="315A1888"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6.3%</w:t>
            </w:r>
          </w:p>
        </w:tc>
        <w:tc>
          <w:tcPr>
            <w:tcW w:w="681" w:type="dxa"/>
            <w:tcBorders>
              <w:top w:val="nil"/>
              <w:left w:val="nil"/>
              <w:bottom w:val="nil"/>
              <w:right w:val="nil"/>
            </w:tcBorders>
            <w:shd w:val="clear" w:color="000000" w:fill="FFFFFF"/>
            <w:vAlign w:val="center"/>
            <w:hideMark/>
          </w:tcPr>
          <w:p w14:paraId="686BD44C"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6.4%</w:t>
            </w:r>
          </w:p>
        </w:tc>
        <w:tc>
          <w:tcPr>
            <w:tcW w:w="567" w:type="dxa"/>
            <w:tcBorders>
              <w:top w:val="nil"/>
              <w:left w:val="nil"/>
              <w:bottom w:val="nil"/>
              <w:right w:val="nil"/>
            </w:tcBorders>
            <w:shd w:val="clear" w:color="000000" w:fill="FFFFFF"/>
            <w:vAlign w:val="center"/>
            <w:hideMark/>
          </w:tcPr>
          <w:p w14:paraId="0BBC5EF9"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6.1%</w:t>
            </w:r>
          </w:p>
        </w:tc>
      </w:tr>
      <w:tr w:rsidR="00195EDA" w:rsidRPr="00236621" w14:paraId="4549486D" w14:textId="77777777" w:rsidTr="00236621">
        <w:trPr>
          <w:trHeight w:val="270"/>
          <w:jc w:val="center"/>
        </w:trPr>
        <w:tc>
          <w:tcPr>
            <w:tcW w:w="1154" w:type="dxa"/>
            <w:vMerge/>
            <w:tcBorders>
              <w:top w:val="nil"/>
              <w:left w:val="nil"/>
              <w:bottom w:val="double" w:sz="6" w:space="0" w:color="000000"/>
              <w:right w:val="nil"/>
            </w:tcBorders>
            <w:vAlign w:val="center"/>
            <w:hideMark/>
          </w:tcPr>
          <w:p w14:paraId="5521D016" w14:textId="77777777" w:rsidR="00195EDA" w:rsidRPr="00AD40BF" w:rsidRDefault="00195EDA" w:rsidP="00195EDA">
            <w:pPr>
              <w:spacing w:after="0" w:line="240" w:lineRule="auto"/>
              <w:rPr>
                <w:rFonts w:ascii="Arial" w:eastAsia="Times New Roman" w:hAnsi="Arial" w:cs="Arial"/>
                <w:b/>
                <w:bCs/>
                <w:sz w:val="16"/>
                <w:szCs w:val="16"/>
                <w:lang w:eastAsia="es-MX"/>
              </w:rPr>
            </w:pPr>
          </w:p>
        </w:tc>
        <w:tc>
          <w:tcPr>
            <w:tcW w:w="1965" w:type="dxa"/>
            <w:tcBorders>
              <w:top w:val="nil"/>
              <w:left w:val="nil"/>
              <w:bottom w:val="double" w:sz="6" w:space="0" w:color="auto"/>
              <w:right w:val="nil"/>
            </w:tcBorders>
            <w:shd w:val="clear" w:color="000000" w:fill="FFFFFF"/>
            <w:vAlign w:val="center"/>
            <w:hideMark/>
          </w:tcPr>
          <w:p w14:paraId="0D38CABD"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Hogares con jóvenes que no asisten a la escuela</w:t>
            </w:r>
          </w:p>
        </w:tc>
        <w:tc>
          <w:tcPr>
            <w:tcW w:w="850" w:type="dxa"/>
            <w:tcBorders>
              <w:top w:val="nil"/>
              <w:left w:val="nil"/>
              <w:bottom w:val="double" w:sz="6" w:space="0" w:color="auto"/>
              <w:right w:val="nil"/>
            </w:tcBorders>
            <w:shd w:val="clear" w:color="000000" w:fill="FFFFFF"/>
            <w:vAlign w:val="center"/>
            <w:hideMark/>
          </w:tcPr>
          <w:p w14:paraId="56C679F8"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75.2%</w:t>
            </w:r>
          </w:p>
        </w:tc>
        <w:tc>
          <w:tcPr>
            <w:tcW w:w="709" w:type="dxa"/>
            <w:tcBorders>
              <w:top w:val="nil"/>
              <w:left w:val="nil"/>
              <w:bottom w:val="double" w:sz="6" w:space="0" w:color="auto"/>
              <w:right w:val="nil"/>
            </w:tcBorders>
            <w:shd w:val="clear" w:color="000000" w:fill="FFFFFF"/>
            <w:vAlign w:val="center"/>
            <w:hideMark/>
          </w:tcPr>
          <w:p w14:paraId="1741F99C"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71.9%</w:t>
            </w:r>
          </w:p>
        </w:tc>
        <w:tc>
          <w:tcPr>
            <w:tcW w:w="851" w:type="dxa"/>
            <w:tcBorders>
              <w:top w:val="nil"/>
              <w:left w:val="nil"/>
              <w:bottom w:val="double" w:sz="6" w:space="0" w:color="auto"/>
              <w:right w:val="nil"/>
            </w:tcBorders>
            <w:shd w:val="clear" w:color="000000" w:fill="FFFFFF"/>
            <w:vAlign w:val="center"/>
            <w:hideMark/>
          </w:tcPr>
          <w:p w14:paraId="59119955"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65.5%</w:t>
            </w:r>
          </w:p>
        </w:tc>
        <w:tc>
          <w:tcPr>
            <w:tcW w:w="594" w:type="dxa"/>
            <w:tcBorders>
              <w:top w:val="nil"/>
              <w:left w:val="nil"/>
              <w:bottom w:val="double" w:sz="6" w:space="0" w:color="auto"/>
              <w:right w:val="nil"/>
            </w:tcBorders>
            <w:shd w:val="clear" w:color="000000" w:fill="FFFFFF"/>
            <w:vAlign w:val="center"/>
            <w:hideMark/>
          </w:tcPr>
          <w:p w14:paraId="13342C8C"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69.0%</w:t>
            </w:r>
          </w:p>
        </w:tc>
        <w:tc>
          <w:tcPr>
            <w:tcW w:w="681" w:type="dxa"/>
            <w:tcBorders>
              <w:top w:val="nil"/>
              <w:left w:val="nil"/>
              <w:bottom w:val="double" w:sz="6" w:space="0" w:color="auto"/>
              <w:right w:val="nil"/>
            </w:tcBorders>
            <w:shd w:val="clear" w:color="000000" w:fill="FFFFFF"/>
            <w:vAlign w:val="center"/>
            <w:hideMark/>
          </w:tcPr>
          <w:p w14:paraId="539DA218"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60.9%</w:t>
            </w:r>
          </w:p>
        </w:tc>
        <w:tc>
          <w:tcPr>
            <w:tcW w:w="567" w:type="dxa"/>
            <w:tcBorders>
              <w:top w:val="nil"/>
              <w:left w:val="nil"/>
              <w:bottom w:val="double" w:sz="6" w:space="0" w:color="auto"/>
              <w:right w:val="nil"/>
            </w:tcBorders>
            <w:shd w:val="clear" w:color="000000" w:fill="FFFFFF"/>
            <w:vAlign w:val="center"/>
            <w:hideMark/>
          </w:tcPr>
          <w:p w14:paraId="61604523" w14:textId="77777777" w:rsidR="00195EDA" w:rsidRPr="00AD40BF" w:rsidRDefault="00195EDA" w:rsidP="00236621">
            <w:pPr>
              <w:spacing w:after="0" w:line="240" w:lineRule="auto"/>
              <w:jc w:val="center"/>
              <w:rPr>
                <w:rFonts w:ascii="Arial" w:eastAsia="Times New Roman" w:hAnsi="Arial" w:cs="Arial"/>
                <w:sz w:val="16"/>
                <w:szCs w:val="16"/>
                <w:lang w:eastAsia="es-MX"/>
              </w:rPr>
            </w:pPr>
            <w:r w:rsidRPr="00AD40BF">
              <w:rPr>
                <w:rFonts w:ascii="Arial" w:eastAsia="Times New Roman" w:hAnsi="Arial" w:cs="Arial"/>
                <w:sz w:val="16"/>
                <w:szCs w:val="16"/>
                <w:lang w:eastAsia="es-MX"/>
              </w:rPr>
              <w:t>57.5%</w:t>
            </w:r>
          </w:p>
        </w:tc>
      </w:tr>
      <w:tr w:rsidR="00195EDA" w:rsidRPr="00236621" w14:paraId="0FED0EEB" w14:textId="77777777" w:rsidTr="00236621">
        <w:trPr>
          <w:trHeight w:val="270"/>
          <w:jc w:val="center"/>
        </w:trPr>
        <w:tc>
          <w:tcPr>
            <w:tcW w:w="6804" w:type="dxa"/>
            <w:gridSpan w:val="7"/>
            <w:tcBorders>
              <w:top w:val="nil"/>
              <w:left w:val="nil"/>
              <w:bottom w:val="nil"/>
              <w:right w:val="nil"/>
            </w:tcBorders>
            <w:shd w:val="clear" w:color="000000" w:fill="FFFFFF"/>
            <w:noWrap/>
            <w:vAlign w:val="center"/>
            <w:hideMark/>
          </w:tcPr>
          <w:p w14:paraId="276C48FA"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Fuente: Elaboración propia a partir de los microdatos de los Censos de Población y Vivienda de 2000, 2010 y Encuesta Intercensal 2015</w:t>
            </w:r>
          </w:p>
        </w:tc>
        <w:tc>
          <w:tcPr>
            <w:tcW w:w="567" w:type="dxa"/>
            <w:tcBorders>
              <w:top w:val="nil"/>
              <w:left w:val="nil"/>
              <w:bottom w:val="nil"/>
              <w:right w:val="nil"/>
            </w:tcBorders>
            <w:shd w:val="clear" w:color="000000" w:fill="FFFFFF"/>
            <w:noWrap/>
            <w:vAlign w:val="center"/>
            <w:hideMark/>
          </w:tcPr>
          <w:p w14:paraId="00386E53" w14:textId="77777777" w:rsidR="00195EDA" w:rsidRPr="00AD40BF" w:rsidRDefault="00195EDA" w:rsidP="00195EDA">
            <w:pPr>
              <w:spacing w:after="0" w:line="240" w:lineRule="auto"/>
              <w:rPr>
                <w:rFonts w:ascii="Arial" w:eastAsia="Times New Roman" w:hAnsi="Arial" w:cs="Arial"/>
                <w:sz w:val="16"/>
                <w:szCs w:val="16"/>
                <w:lang w:eastAsia="es-MX"/>
              </w:rPr>
            </w:pPr>
            <w:r w:rsidRPr="00AD40BF">
              <w:rPr>
                <w:rFonts w:ascii="Arial" w:eastAsia="Times New Roman" w:hAnsi="Arial" w:cs="Arial"/>
                <w:sz w:val="16"/>
                <w:szCs w:val="16"/>
                <w:lang w:eastAsia="es-MX"/>
              </w:rPr>
              <w:t> </w:t>
            </w:r>
          </w:p>
        </w:tc>
      </w:tr>
    </w:tbl>
    <w:p w14:paraId="45E423F5" w14:textId="340A7B95" w:rsidR="00A3358D" w:rsidRDefault="00076228" w:rsidP="00DD539D">
      <w:pPr>
        <w:spacing w:before="240" w:after="24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Cuando consideramos el peso del capital social </w:t>
      </w:r>
      <w:r w:rsidR="000B3B4D">
        <w:rPr>
          <w:rFonts w:ascii="Times New Roman" w:eastAsia="Times New Roman" w:hAnsi="Times New Roman" w:cs="Times New Roman"/>
          <w:sz w:val="24"/>
          <w:szCs w:val="24"/>
          <w:lang w:eastAsia="es-MX"/>
        </w:rPr>
        <w:t xml:space="preserve">para que los hijos de las familias jefaturadas por retornados de Estados Unidos, notamos (ver tabla 4) que </w:t>
      </w:r>
      <w:r w:rsidR="00072365">
        <w:rPr>
          <w:rFonts w:ascii="Times New Roman" w:eastAsia="Times New Roman" w:hAnsi="Times New Roman" w:cs="Times New Roman"/>
          <w:sz w:val="24"/>
          <w:szCs w:val="24"/>
          <w:lang w:eastAsia="es-MX"/>
        </w:rPr>
        <w:t xml:space="preserve">cuentan con menor capital social que los hijos de familias jefaturadas por no migrantes. Los hijos de retornados </w:t>
      </w:r>
      <w:r w:rsidR="00045EC7">
        <w:rPr>
          <w:rFonts w:ascii="Times New Roman" w:eastAsia="Times New Roman" w:hAnsi="Times New Roman" w:cs="Times New Roman"/>
          <w:sz w:val="24"/>
          <w:szCs w:val="24"/>
          <w:lang w:eastAsia="es-MX"/>
        </w:rPr>
        <w:t>cuentan con menos recursos sociales a quienes acudir en caso de necesitar ayuda en sus estudios escolares</w:t>
      </w:r>
      <w:r w:rsidR="00DD539D">
        <w:rPr>
          <w:rFonts w:ascii="Times New Roman" w:eastAsia="Times New Roman" w:hAnsi="Times New Roman" w:cs="Times New Roman"/>
          <w:sz w:val="24"/>
          <w:szCs w:val="24"/>
          <w:lang w:eastAsia="es-MX"/>
        </w:rPr>
        <w:t>. Así, el capital social no explica la asistencia escolar de los hijos de retornados.</w:t>
      </w:r>
    </w:p>
    <w:tbl>
      <w:tblPr>
        <w:tblW w:w="8818" w:type="dxa"/>
        <w:tblCellMar>
          <w:left w:w="70" w:type="dxa"/>
          <w:right w:w="70" w:type="dxa"/>
        </w:tblCellMar>
        <w:tblLook w:val="04A0" w:firstRow="1" w:lastRow="0" w:firstColumn="1" w:lastColumn="0" w:noHBand="0" w:noVBand="1"/>
      </w:tblPr>
      <w:tblGrid>
        <w:gridCol w:w="1008"/>
        <w:gridCol w:w="1244"/>
        <w:gridCol w:w="819"/>
        <w:gridCol w:w="747"/>
        <w:gridCol w:w="850"/>
        <w:gridCol w:w="851"/>
        <w:gridCol w:w="845"/>
        <w:gridCol w:w="744"/>
        <w:gridCol w:w="850"/>
        <w:gridCol w:w="860"/>
      </w:tblGrid>
      <w:tr w:rsidR="00A92936" w:rsidRPr="00A92936" w14:paraId="558A45B3" w14:textId="77777777" w:rsidTr="00AD40BF">
        <w:trPr>
          <w:trHeight w:val="725"/>
        </w:trPr>
        <w:tc>
          <w:tcPr>
            <w:tcW w:w="8818" w:type="dxa"/>
            <w:gridSpan w:val="10"/>
            <w:tcBorders>
              <w:top w:val="single" w:sz="8" w:space="0" w:color="auto"/>
              <w:left w:val="single" w:sz="8" w:space="0" w:color="auto"/>
              <w:bottom w:val="double" w:sz="6" w:space="0" w:color="auto"/>
              <w:right w:val="single" w:sz="8" w:space="0" w:color="000000"/>
            </w:tcBorders>
            <w:shd w:val="clear" w:color="000000" w:fill="FFFFFF"/>
            <w:vAlign w:val="center"/>
            <w:hideMark/>
          </w:tcPr>
          <w:p w14:paraId="100CC911" w14:textId="77777777" w:rsidR="00A92936" w:rsidRPr="00AD40BF" w:rsidRDefault="00A92936" w:rsidP="007C12C3">
            <w:pPr>
              <w:spacing w:after="0" w:line="240" w:lineRule="auto"/>
              <w:jc w:val="center"/>
              <w:rPr>
                <w:rFonts w:ascii="Calibri" w:eastAsia="Times New Roman" w:hAnsi="Calibri" w:cs="Calibri"/>
                <w:b/>
                <w:bCs/>
                <w:sz w:val="24"/>
                <w:szCs w:val="24"/>
                <w:lang w:eastAsia="es-MX"/>
              </w:rPr>
            </w:pPr>
            <w:r w:rsidRPr="00AD40BF">
              <w:rPr>
                <w:rFonts w:ascii="Calibri" w:eastAsia="Times New Roman" w:hAnsi="Calibri" w:cs="Calibri"/>
                <w:b/>
                <w:bCs/>
                <w:sz w:val="24"/>
                <w:szCs w:val="24"/>
                <w:lang w:eastAsia="es-MX"/>
              </w:rPr>
              <w:lastRenderedPageBreak/>
              <w:t>Tabla 4. Medias de capital social de hogares según asistencia escolar de hijos por edad, Nacional y tamaños de localidad, México 2000 y 2015</w:t>
            </w:r>
          </w:p>
        </w:tc>
      </w:tr>
      <w:tr w:rsidR="00A92936" w:rsidRPr="00A92936" w14:paraId="1EE1D04D" w14:textId="77777777" w:rsidTr="007C12C3">
        <w:trPr>
          <w:trHeight w:val="285"/>
        </w:trPr>
        <w:tc>
          <w:tcPr>
            <w:tcW w:w="1007" w:type="dxa"/>
            <w:vMerge w:val="restart"/>
            <w:tcBorders>
              <w:top w:val="nil"/>
              <w:left w:val="single" w:sz="8" w:space="0" w:color="auto"/>
              <w:bottom w:val="double" w:sz="6" w:space="0" w:color="000000"/>
              <w:right w:val="nil"/>
            </w:tcBorders>
            <w:shd w:val="clear" w:color="000000" w:fill="FFFFFF"/>
            <w:vAlign w:val="center"/>
            <w:hideMark/>
          </w:tcPr>
          <w:p w14:paraId="34A0CA88"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Tipo de hogar según edad de los hijos</w:t>
            </w:r>
          </w:p>
        </w:tc>
        <w:tc>
          <w:tcPr>
            <w:tcW w:w="1245" w:type="dxa"/>
            <w:vMerge w:val="restart"/>
            <w:tcBorders>
              <w:top w:val="nil"/>
              <w:left w:val="nil"/>
              <w:bottom w:val="double" w:sz="6" w:space="0" w:color="000000"/>
              <w:right w:val="nil"/>
            </w:tcBorders>
            <w:shd w:val="clear" w:color="000000" w:fill="FFFFFF"/>
            <w:vAlign w:val="center"/>
            <w:hideMark/>
          </w:tcPr>
          <w:p w14:paraId="17868978"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Tamaño de localidad</w:t>
            </w:r>
          </w:p>
        </w:tc>
        <w:tc>
          <w:tcPr>
            <w:tcW w:w="3267" w:type="dxa"/>
            <w:gridSpan w:val="4"/>
            <w:tcBorders>
              <w:top w:val="double" w:sz="6" w:space="0" w:color="auto"/>
              <w:left w:val="single" w:sz="8" w:space="0" w:color="auto"/>
              <w:bottom w:val="double" w:sz="6" w:space="0" w:color="auto"/>
              <w:right w:val="single" w:sz="8" w:space="0" w:color="000000"/>
            </w:tcBorders>
            <w:shd w:val="clear" w:color="000000" w:fill="FFFFFF"/>
            <w:vAlign w:val="center"/>
            <w:hideMark/>
          </w:tcPr>
          <w:p w14:paraId="1F546DB4"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que no asisten a la escuela</w:t>
            </w:r>
          </w:p>
        </w:tc>
        <w:tc>
          <w:tcPr>
            <w:tcW w:w="3299" w:type="dxa"/>
            <w:gridSpan w:val="4"/>
            <w:tcBorders>
              <w:top w:val="double" w:sz="6" w:space="0" w:color="auto"/>
              <w:left w:val="nil"/>
              <w:bottom w:val="double" w:sz="6" w:space="0" w:color="auto"/>
              <w:right w:val="single" w:sz="8" w:space="0" w:color="000000"/>
            </w:tcBorders>
            <w:shd w:val="clear" w:color="000000" w:fill="FFFFFF"/>
            <w:vAlign w:val="center"/>
            <w:hideMark/>
          </w:tcPr>
          <w:p w14:paraId="05015335"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que asisten a la escuela</w:t>
            </w:r>
          </w:p>
        </w:tc>
      </w:tr>
      <w:tr w:rsidR="00A92936" w:rsidRPr="00A92936" w14:paraId="4390CD34" w14:textId="77777777" w:rsidTr="007C12C3">
        <w:trPr>
          <w:trHeight w:val="285"/>
        </w:trPr>
        <w:tc>
          <w:tcPr>
            <w:tcW w:w="1007" w:type="dxa"/>
            <w:vMerge/>
            <w:tcBorders>
              <w:top w:val="nil"/>
              <w:left w:val="single" w:sz="8" w:space="0" w:color="auto"/>
              <w:bottom w:val="double" w:sz="6" w:space="0" w:color="000000"/>
              <w:right w:val="nil"/>
            </w:tcBorders>
            <w:vAlign w:val="center"/>
            <w:hideMark/>
          </w:tcPr>
          <w:p w14:paraId="5800EEB7"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vMerge/>
            <w:tcBorders>
              <w:top w:val="nil"/>
              <w:left w:val="nil"/>
              <w:bottom w:val="double" w:sz="6" w:space="0" w:color="000000"/>
              <w:right w:val="nil"/>
            </w:tcBorders>
            <w:vAlign w:val="center"/>
            <w:hideMark/>
          </w:tcPr>
          <w:p w14:paraId="36D2CD08"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566" w:type="dxa"/>
            <w:gridSpan w:val="2"/>
            <w:tcBorders>
              <w:top w:val="nil"/>
              <w:left w:val="single" w:sz="8" w:space="0" w:color="auto"/>
              <w:bottom w:val="double" w:sz="6" w:space="0" w:color="auto"/>
              <w:right w:val="nil"/>
            </w:tcBorders>
            <w:shd w:val="clear" w:color="000000" w:fill="FFFFFF"/>
            <w:vAlign w:val="center"/>
            <w:hideMark/>
          </w:tcPr>
          <w:p w14:paraId="50106A9F"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2000</w:t>
            </w:r>
          </w:p>
        </w:tc>
        <w:tc>
          <w:tcPr>
            <w:tcW w:w="1701" w:type="dxa"/>
            <w:gridSpan w:val="2"/>
            <w:tcBorders>
              <w:top w:val="nil"/>
              <w:left w:val="nil"/>
              <w:bottom w:val="double" w:sz="6" w:space="0" w:color="auto"/>
              <w:right w:val="single" w:sz="8" w:space="0" w:color="000000"/>
            </w:tcBorders>
            <w:shd w:val="clear" w:color="000000" w:fill="FFFFFF"/>
            <w:vAlign w:val="center"/>
            <w:hideMark/>
          </w:tcPr>
          <w:p w14:paraId="20D730E0"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2015</w:t>
            </w:r>
          </w:p>
        </w:tc>
        <w:tc>
          <w:tcPr>
            <w:tcW w:w="1589" w:type="dxa"/>
            <w:gridSpan w:val="2"/>
            <w:tcBorders>
              <w:top w:val="nil"/>
              <w:left w:val="nil"/>
              <w:bottom w:val="double" w:sz="6" w:space="0" w:color="auto"/>
              <w:right w:val="nil"/>
            </w:tcBorders>
            <w:shd w:val="clear" w:color="000000" w:fill="FFFFFF"/>
            <w:vAlign w:val="center"/>
            <w:hideMark/>
          </w:tcPr>
          <w:p w14:paraId="7A7AD66A"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2000</w:t>
            </w:r>
          </w:p>
        </w:tc>
        <w:tc>
          <w:tcPr>
            <w:tcW w:w="1710" w:type="dxa"/>
            <w:gridSpan w:val="2"/>
            <w:tcBorders>
              <w:top w:val="nil"/>
              <w:left w:val="nil"/>
              <w:bottom w:val="double" w:sz="6" w:space="0" w:color="auto"/>
              <w:right w:val="single" w:sz="8" w:space="0" w:color="000000"/>
            </w:tcBorders>
            <w:shd w:val="clear" w:color="000000" w:fill="FFFFFF"/>
            <w:vAlign w:val="center"/>
            <w:hideMark/>
          </w:tcPr>
          <w:p w14:paraId="5580A6EE"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2015</w:t>
            </w:r>
          </w:p>
        </w:tc>
      </w:tr>
      <w:tr w:rsidR="00A92936" w:rsidRPr="00A92936" w14:paraId="435C0BB8" w14:textId="77777777" w:rsidTr="007C12C3">
        <w:trPr>
          <w:trHeight w:val="885"/>
        </w:trPr>
        <w:tc>
          <w:tcPr>
            <w:tcW w:w="1007" w:type="dxa"/>
            <w:vMerge/>
            <w:tcBorders>
              <w:top w:val="nil"/>
              <w:left w:val="single" w:sz="8" w:space="0" w:color="auto"/>
              <w:bottom w:val="double" w:sz="6" w:space="0" w:color="000000"/>
              <w:right w:val="nil"/>
            </w:tcBorders>
            <w:vAlign w:val="center"/>
            <w:hideMark/>
          </w:tcPr>
          <w:p w14:paraId="251D2E71"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vMerge/>
            <w:tcBorders>
              <w:top w:val="nil"/>
              <w:left w:val="nil"/>
              <w:bottom w:val="double" w:sz="6" w:space="0" w:color="000000"/>
              <w:right w:val="nil"/>
            </w:tcBorders>
            <w:vAlign w:val="center"/>
            <w:hideMark/>
          </w:tcPr>
          <w:p w14:paraId="6B8B63C3"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819" w:type="dxa"/>
            <w:tcBorders>
              <w:top w:val="nil"/>
              <w:left w:val="single" w:sz="8" w:space="0" w:color="auto"/>
              <w:bottom w:val="double" w:sz="6" w:space="0" w:color="auto"/>
              <w:right w:val="nil"/>
            </w:tcBorders>
            <w:shd w:val="clear" w:color="000000" w:fill="FFFFFF"/>
            <w:vAlign w:val="center"/>
            <w:hideMark/>
          </w:tcPr>
          <w:p w14:paraId="5D7F3151"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747" w:type="dxa"/>
            <w:tcBorders>
              <w:top w:val="nil"/>
              <w:left w:val="nil"/>
              <w:bottom w:val="double" w:sz="6" w:space="0" w:color="auto"/>
              <w:right w:val="nil"/>
            </w:tcBorders>
            <w:shd w:val="clear" w:color="000000" w:fill="FFFFFF"/>
            <w:vAlign w:val="center"/>
            <w:hideMark/>
          </w:tcPr>
          <w:p w14:paraId="7393C577"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50" w:type="dxa"/>
            <w:tcBorders>
              <w:top w:val="nil"/>
              <w:left w:val="nil"/>
              <w:bottom w:val="double" w:sz="6" w:space="0" w:color="auto"/>
              <w:right w:val="nil"/>
            </w:tcBorders>
            <w:shd w:val="clear" w:color="000000" w:fill="FFFFFF"/>
            <w:vAlign w:val="center"/>
            <w:hideMark/>
          </w:tcPr>
          <w:p w14:paraId="070B6CA8"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851" w:type="dxa"/>
            <w:tcBorders>
              <w:top w:val="nil"/>
              <w:left w:val="nil"/>
              <w:bottom w:val="double" w:sz="6" w:space="0" w:color="auto"/>
              <w:right w:val="single" w:sz="8" w:space="0" w:color="auto"/>
            </w:tcBorders>
            <w:shd w:val="clear" w:color="000000" w:fill="FFFFFF"/>
            <w:vAlign w:val="center"/>
            <w:hideMark/>
          </w:tcPr>
          <w:p w14:paraId="5C541769"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45" w:type="dxa"/>
            <w:tcBorders>
              <w:top w:val="nil"/>
              <w:left w:val="nil"/>
              <w:bottom w:val="double" w:sz="6" w:space="0" w:color="auto"/>
              <w:right w:val="nil"/>
            </w:tcBorders>
            <w:shd w:val="clear" w:color="000000" w:fill="FFFFFF"/>
            <w:vAlign w:val="center"/>
            <w:hideMark/>
          </w:tcPr>
          <w:p w14:paraId="211301B2"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744" w:type="dxa"/>
            <w:tcBorders>
              <w:top w:val="nil"/>
              <w:left w:val="nil"/>
              <w:bottom w:val="double" w:sz="6" w:space="0" w:color="auto"/>
              <w:right w:val="nil"/>
            </w:tcBorders>
            <w:shd w:val="clear" w:color="000000" w:fill="FFFFFF"/>
            <w:vAlign w:val="center"/>
            <w:hideMark/>
          </w:tcPr>
          <w:p w14:paraId="7134C860"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50" w:type="dxa"/>
            <w:tcBorders>
              <w:top w:val="nil"/>
              <w:left w:val="nil"/>
              <w:bottom w:val="double" w:sz="6" w:space="0" w:color="auto"/>
              <w:right w:val="nil"/>
            </w:tcBorders>
            <w:shd w:val="clear" w:color="000000" w:fill="FFFFFF"/>
            <w:vAlign w:val="center"/>
            <w:hideMark/>
          </w:tcPr>
          <w:p w14:paraId="10F80C5B"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860" w:type="dxa"/>
            <w:tcBorders>
              <w:top w:val="nil"/>
              <w:left w:val="nil"/>
              <w:bottom w:val="double" w:sz="6" w:space="0" w:color="auto"/>
              <w:right w:val="single" w:sz="8" w:space="0" w:color="auto"/>
            </w:tcBorders>
            <w:shd w:val="clear" w:color="000000" w:fill="FFFFFF"/>
            <w:vAlign w:val="center"/>
            <w:hideMark/>
          </w:tcPr>
          <w:p w14:paraId="16FEADBE"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r>
      <w:tr w:rsidR="00A92936" w:rsidRPr="00A92936" w14:paraId="3EAE3C2F" w14:textId="77777777" w:rsidTr="007C12C3">
        <w:trPr>
          <w:trHeight w:val="270"/>
        </w:trPr>
        <w:tc>
          <w:tcPr>
            <w:tcW w:w="1007" w:type="dxa"/>
            <w:vMerge w:val="restart"/>
            <w:tcBorders>
              <w:top w:val="nil"/>
              <w:left w:val="single" w:sz="8" w:space="0" w:color="auto"/>
              <w:bottom w:val="double" w:sz="6" w:space="0" w:color="000000"/>
              <w:right w:val="nil"/>
            </w:tcBorders>
            <w:shd w:val="clear" w:color="000000" w:fill="FFFFFF"/>
            <w:vAlign w:val="center"/>
            <w:hideMark/>
          </w:tcPr>
          <w:p w14:paraId="3D3A6670"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de 6 a 11 años</w:t>
            </w:r>
          </w:p>
        </w:tc>
        <w:tc>
          <w:tcPr>
            <w:tcW w:w="1245" w:type="dxa"/>
            <w:tcBorders>
              <w:top w:val="nil"/>
              <w:left w:val="nil"/>
              <w:bottom w:val="nil"/>
              <w:right w:val="nil"/>
            </w:tcBorders>
            <w:shd w:val="clear" w:color="000000" w:fill="FFFFFF"/>
            <w:vAlign w:val="center"/>
            <w:hideMark/>
          </w:tcPr>
          <w:p w14:paraId="0478B34E"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819" w:type="dxa"/>
            <w:tcBorders>
              <w:top w:val="nil"/>
              <w:left w:val="single" w:sz="8" w:space="0" w:color="auto"/>
              <w:bottom w:val="nil"/>
              <w:right w:val="nil"/>
            </w:tcBorders>
            <w:shd w:val="clear" w:color="000000" w:fill="FFFFFF"/>
            <w:noWrap/>
            <w:vAlign w:val="center"/>
            <w:hideMark/>
          </w:tcPr>
          <w:p w14:paraId="258357E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747" w:type="dxa"/>
            <w:tcBorders>
              <w:top w:val="nil"/>
              <w:left w:val="nil"/>
              <w:bottom w:val="nil"/>
              <w:right w:val="nil"/>
            </w:tcBorders>
            <w:shd w:val="clear" w:color="000000" w:fill="FFFFFF"/>
            <w:noWrap/>
            <w:vAlign w:val="center"/>
            <w:hideMark/>
          </w:tcPr>
          <w:p w14:paraId="3AD11FD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2.8</w:t>
            </w:r>
          </w:p>
        </w:tc>
        <w:tc>
          <w:tcPr>
            <w:tcW w:w="850" w:type="dxa"/>
            <w:tcBorders>
              <w:top w:val="nil"/>
              <w:left w:val="nil"/>
              <w:bottom w:val="nil"/>
              <w:right w:val="nil"/>
            </w:tcBorders>
            <w:shd w:val="clear" w:color="000000" w:fill="FFFFFF"/>
            <w:noWrap/>
            <w:vAlign w:val="center"/>
            <w:hideMark/>
          </w:tcPr>
          <w:p w14:paraId="03BEBDB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851" w:type="dxa"/>
            <w:tcBorders>
              <w:top w:val="nil"/>
              <w:left w:val="nil"/>
              <w:bottom w:val="nil"/>
              <w:right w:val="single" w:sz="8" w:space="0" w:color="auto"/>
            </w:tcBorders>
            <w:shd w:val="clear" w:color="000000" w:fill="FFFFFF"/>
            <w:noWrap/>
            <w:vAlign w:val="center"/>
            <w:hideMark/>
          </w:tcPr>
          <w:p w14:paraId="4781DE9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c>
          <w:tcPr>
            <w:tcW w:w="845" w:type="dxa"/>
            <w:tcBorders>
              <w:top w:val="nil"/>
              <w:left w:val="nil"/>
              <w:bottom w:val="nil"/>
              <w:right w:val="nil"/>
            </w:tcBorders>
            <w:shd w:val="clear" w:color="000000" w:fill="FFFFFF"/>
            <w:noWrap/>
            <w:vAlign w:val="center"/>
            <w:hideMark/>
          </w:tcPr>
          <w:p w14:paraId="5C443186"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744" w:type="dxa"/>
            <w:tcBorders>
              <w:top w:val="nil"/>
              <w:left w:val="nil"/>
              <w:bottom w:val="nil"/>
              <w:right w:val="nil"/>
            </w:tcBorders>
            <w:shd w:val="clear" w:color="000000" w:fill="FFFFFF"/>
            <w:noWrap/>
            <w:vAlign w:val="center"/>
            <w:hideMark/>
          </w:tcPr>
          <w:p w14:paraId="3F2CBB2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850" w:type="dxa"/>
            <w:tcBorders>
              <w:top w:val="nil"/>
              <w:left w:val="nil"/>
              <w:bottom w:val="nil"/>
              <w:right w:val="nil"/>
            </w:tcBorders>
            <w:shd w:val="clear" w:color="000000" w:fill="FFFFFF"/>
            <w:noWrap/>
            <w:vAlign w:val="center"/>
            <w:hideMark/>
          </w:tcPr>
          <w:p w14:paraId="32144FA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860" w:type="dxa"/>
            <w:tcBorders>
              <w:top w:val="nil"/>
              <w:left w:val="nil"/>
              <w:bottom w:val="nil"/>
              <w:right w:val="single" w:sz="8" w:space="0" w:color="auto"/>
            </w:tcBorders>
            <w:shd w:val="clear" w:color="000000" w:fill="FFFFFF"/>
            <w:noWrap/>
            <w:vAlign w:val="center"/>
            <w:hideMark/>
          </w:tcPr>
          <w:p w14:paraId="503FE7D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r>
      <w:tr w:rsidR="00A92936" w:rsidRPr="00A92936" w14:paraId="719F026C"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3D47B46F"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02E1EC9B"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819" w:type="dxa"/>
            <w:tcBorders>
              <w:top w:val="nil"/>
              <w:left w:val="single" w:sz="8" w:space="0" w:color="auto"/>
              <w:bottom w:val="nil"/>
              <w:right w:val="nil"/>
            </w:tcBorders>
            <w:shd w:val="clear" w:color="000000" w:fill="FFFFFF"/>
            <w:noWrap/>
            <w:vAlign w:val="center"/>
            <w:hideMark/>
          </w:tcPr>
          <w:p w14:paraId="303EA776"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2.9</w:t>
            </w:r>
          </w:p>
        </w:tc>
        <w:tc>
          <w:tcPr>
            <w:tcW w:w="747" w:type="dxa"/>
            <w:tcBorders>
              <w:top w:val="nil"/>
              <w:left w:val="nil"/>
              <w:bottom w:val="nil"/>
              <w:right w:val="nil"/>
            </w:tcBorders>
            <w:shd w:val="clear" w:color="000000" w:fill="FFFFFF"/>
            <w:noWrap/>
            <w:vAlign w:val="center"/>
            <w:hideMark/>
          </w:tcPr>
          <w:p w14:paraId="6EAB39B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2.6</w:t>
            </w:r>
          </w:p>
        </w:tc>
        <w:tc>
          <w:tcPr>
            <w:tcW w:w="850" w:type="dxa"/>
            <w:tcBorders>
              <w:top w:val="nil"/>
              <w:left w:val="nil"/>
              <w:bottom w:val="nil"/>
              <w:right w:val="nil"/>
            </w:tcBorders>
            <w:shd w:val="clear" w:color="000000" w:fill="FFFFFF"/>
            <w:noWrap/>
            <w:vAlign w:val="center"/>
            <w:hideMark/>
          </w:tcPr>
          <w:p w14:paraId="39D1851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2.7</w:t>
            </w:r>
          </w:p>
        </w:tc>
        <w:tc>
          <w:tcPr>
            <w:tcW w:w="851" w:type="dxa"/>
            <w:tcBorders>
              <w:top w:val="nil"/>
              <w:left w:val="nil"/>
              <w:bottom w:val="nil"/>
              <w:right w:val="single" w:sz="8" w:space="0" w:color="auto"/>
            </w:tcBorders>
            <w:shd w:val="clear" w:color="000000" w:fill="FFFFFF"/>
            <w:noWrap/>
            <w:vAlign w:val="center"/>
            <w:hideMark/>
          </w:tcPr>
          <w:p w14:paraId="35EB569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2.9</w:t>
            </w:r>
          </w:p>
        </w:tc>
        <w:tc>
          <w:tcPr>
            <w:tcW w:w="845" w:type="dxa"/>
            <w:tcBorders>
              <w:top w:val="nil"/>
              <w:left w:val="nil"/>
              <w:bottom w:val="nil"/>
              <w:right w:val="nil"/>
            </w:tcBorders>
            <w:shd w:val="clear" w:color="000000" w:fill="FFFFFF"/>
            <w:noWrap/>
            <w:vAlign w:val="center"/>
            <w:hideMark/>
          </w:tcPr>
          <w:p w14:paraId="206692AA"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2.3</w:t>
            </w:r>
          </w:p>
        </w:tc>
        <w:tc>
          <w:tcPr>
            <w:tcW w:w="744" w:type="dxa"/>
            <w:tcBorders>
              <w:top w:val="nil"/>
              <w:left w:val="nil"/>
              <w:bottom w:val="nil"/>
              <w:right w:val="nil"/>
            </w:tcBorders>
            <w:shd w:val="clear" w:color="000000" w:fill="FFFFFF"/>
            <w:noWrap/>
            <w:vAlign w:val="center"/>
            <w:hideMark/>
          </w:tcPr>
          <w:p w14:paraId="1A153E2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850" w:type="dxa"/>
            <w:tcBorders>
              <w:top w:val="nil"/>
              <w:left w:val="nil"/>
              <w:bottom w:val="nil"/>
              <w:right w:val="nil"/>
            </w:tcBorders>
            <w:shd w:val="clear" w:color="000000" w:fill="FFFFFF"/>
            <w:noWrap/>
            <w:vAlign w:val="center"/>
            <w:hideMark/>
          </w:tcPr>
          <w:p w14:paraId="3BFD3E92"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860" w:type="dxa"/>
            <w:tcBorders>
              <w:top w:val="nil"/>
              <w:left w:val="nil"/>
              <w:bottom w:val="nil"/>
              <w:right w:val="single" w:sz="8" w:space="0" w:color="auto"/>
            </w:tcBorders>
            <w:shd w:val="clear" w:color="000000" w:fill="FFFFFF"/>
            <w:noWrap/>
            <w:vAlign w:val="center"/>
            <w:hideMark/>
          </w:tcPr>
          <w:p w14:paraId="7D5644E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r>
      <w:tr w:rsidR="00A92936" w:rsidRPr="00A92936" w14:paraId="06A14C83"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7C2CF0A0"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63183304"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819" w:type="dxa"/>
            <w:tcBorders>
              <w:top w:val="nil"/>
              <w:left w:val="single" w:sz="8" w:space="0" w:color="auto"/>
              <w:bottom w:val="nil"/>
              <w:right w:val="nil"/>
            </w:tcBorders>
            <w:shd w:val="clear" w:color="000000" w:fill="FFFFFF"/>
            <w:noWrap/>
            <w:vAlign w:val="center"/>
            <w:hideMark/>
          </w:tcPr>
          <w:p w14:paraId="326A1B4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2.1</w:t>
            </w:r>
          </w:p>
        </w:tc>
        <w:tc>
          <w:tcPr>
            <w:tcW w:w="747" w:type="dxa"/>
            <w:tcBorders>
              <w:top w:val="nil"/>
              <w:left w:val="nil"/>
              <w:bottom w:val="nil"/>
              <w:right w:val="nil"/>
            </w:tcBorders>
            <w:shd w:val="clear" w:color="000000" w:fill="FFFFFF"/>
            <w:noWrap/>
            <w:vAlign w:val="center"/>
            <w:hideMark/>
          </w:tcPr>
          <w:p w14:paraId="2BA4A80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2.8</w:t>
            </w:r>
          </w:p>
        </w:tc>
        <w:tc>
          <w:tcPr>
            <w:tcW w:w="850" w:type="dxa"/>
            <w:tcBorders>
              <w:top w:val="nil"/>
              <w:left w:val="nil"/>
              <w:bottom w:val="nil"/>
              <w:right w:val="nil"/>
            </w:tcBorders>
            <w:shd w:val="clear" w:color="000000" w:fill="FFFFFF"/>
            <w:noWrap/>
            <w:vAlign w:val="center"/>
            <w:hideMark/>
          </w:tcPr>
          <w:p w14:paraId="66CE70A6"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3.2</w:t>
            </w:r>
          </w:p>
        </w:tc>
        <w:tc>
          <w:tcPr>
            <w:tcW w:w="851" w:type="dxa"/>
            <w:tcBorders>
              <w:top w:val="nil"/>
              <w:left w:val="nil"/>
              <w:bottom w:val="nil"/>
              <w:right w:val="single" w:sz="8" w:space="0" w:color="auto"/>
            </w:tcBorders>
            <w:shd w:val="clear" w:color="000000" w:fill="FFFFFF"/>
            <w:noWrap/>
            <w:vAlign w:val="center"/>
            <w:hideMark/>
          </w:tcPr>
          <w:p w14:paraId="18C4904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c>
          <w:tcPr>
            <w:tcW w:w="845" w:type="dxa"/>
            <w:tcBorders>
              <w:top w:val="nil"/>
              <w:left w:val="nil"/>
              <w:bottom w:val="nil"/>
              <w:right w:val="nil"/>
            </w:tcBorders>
            <w:shd w:val="clear" w:color="000000" w:fill="FFFFFF"/>
            <w:noWrap/>
            <w:vAlign w:val="center"/>
            <w:hideMark/>
          </w:tcPr>
          <w:p w14:paraId="47DFFD4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744" w:type="dxa"/>
            <w:tcBorders>
              <w:top w:val="nil"/>
              <w:left w:val="nil"/>
              <w:bottom w:val="nil"/>
              <w:right w:val="nil"/>
            </w:tcBorders>
            <w:shd w:val="clear" w:color="000000" w:fill="FFFFFF"/>
            <w:noWrap/>
            <w:vAlign w:val="center"/>
            <w:hideMark/>
          </w:tcPr>
          <w:p w14:paraId="7704BF4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850" w:type="dxa"/>
            <w:tcBorders>
              <w:top w:val="nil"/>
              <w:left w:val="nil"/>
              <w:bottom w:val="nil"/>
              <w:right w:val="nil"/>
            </w:tcBorders>
            <w:shd w:val="clear" w:color="000000" w:fill="FFFFFF"/>
            <w:noWrap/>
            <w:vAlign w:val="center"/>
            <w:hideMark/>
          </w:tcPr>
          <w:p w14:paraId="0C2AAD8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860" w:type="dxa"/>
            <w:tcBorders>
              <w:top w:val="nil"/>
              <w:left w:val="nil"/>
              <w:bottom w:val="nil"/>
              <w:right w:val="single" w:sz="8" w:space="0" w:color="auto"/>
            </w:tcBorders>
            <w:shd w:val="clear" w:color="000000" w:fill="FFFFFF"/>
            <w:noWrap/>
            <w:vAlign w:val="center"/>
            <w:hideMark/>
          </w:tcPr>
          <w:p w14:paraId="5C5010C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r>
      <w:tr w:rsidR="00A92936" w:rsidRPr="00A92936" w14:paraId="3572A0A6"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7500EE5E"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3FC56F81"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819" w:type="dxa"/>
            <w:tcBorders>
              <w:top w:val="nil"/>
              <w:left w:val="single" w:sz="8" w:space="0" w:color="auto"/>
              <w:bottom w:val="nil"/>
              <w:right w:val="nil"/>
            </w:tcBorders>
            <w:shd w:val="clear" w:color="000000" w:fill="FFFFFF"/>
            <w:noWrap/>
            <w:vAlign w:val="center"/>
            <w:hideMark/>
          </w:tcPr>
          <w:p w14:paraId="14537C4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2.8</w:t>
            </w:r>
          </w:p>
        </w:tc>
        <w:tc>
          <w:tcPr>
            <w:tcW w:w="747" w:type="dxa"/>
            <w:tcBorders>
              <w:top w:val="nil"/>
              <w:left w:val="nil"/>
              <w:bottom w:val="nil"/>
              <w:right w:val="nil"/>
            </w:tcBorders>
            <w:shd w:val="clear" w:color="000000" w:fill="FFFFFF"/>
            <w:noWrap/>
            <w:vAlign w:val="center"/>
            <w:hideMark/>
          </w:tcPr>
          <w:p w14:paraId="61D4B15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2.9</w:t>
            </w:r>
          </w:p>
        </w:tc>
        <w:tc>
          <w:tcPr>
            <w:tcW w:w="850" w:type="dxa"/>
            <w:tcBorders>
              <w:top w:val="nil"/>
              <w:left w:val="nil"/>
              <w:bottom w:val="nil"/>
              <w:right w:val="nil"/>
            </w:tcBorders>
            <w:shd w:val="clear" w:color="000000" w:fill="FFFFFF"/>
            <w:noWrap/>
            <w:vAlign w:val="center"/>
            <w:hideMark/>
          </w:tcPr>
          <w:p w14:paraId="37A57F1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2.8</w:t>
            </w:r>
          </w:p>
        </w:tc>
        <w:tc>
          <w:tcPr>
            <w:tcW w:w="851" w:type="dxa"/>
            <w:tcBorders>
              <w:top w:val="nil"/>
              <w:left w:val="nil"/>
              <w:bottom w:val="nil"/>
              <w:right w:val="single" w:sz="8" w:space="0" w:color="auto"/>
            </w:tcBorders>
            <w:shd w:val="clear" w:color="000000" w:fill="FFFFFF"/>
            <w:noWrap/>
            <w:vAlign w:val="center"/>
            <w:hideMark/>
          </w:tcPr>
          <w:p w14:paraId="6308D58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845" w:type="dxa"/>
            <w:tcBorders>
              <w:top w:val="nil"/>
              <w:left w:val="nil"/>
              <w:bottom w:val="nil"/>
              <w:right w:val="nil"/>
            </w:tcBorders>
            <w:shd w:val="clear" w:color="000000" w:fill="FFFFFF"/>
            <w:noWrap/>
            <w:vAlign w:val="center"/>
            <w:hideMark/>
          </w:tcPr>
          <w:p w14:paraId="64F40C1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2.4</w:t>
            </w:r>
          </w:p>
        </w:tc>
        <w:tc>
          <w:tcPr>
            <w:tcW w:w="744" w:type="dxa"/>
            <w:tcBorders>
              <w:top w:val="nil"/>
              <w:left w:val="nil"/>
              <w:bottom w:val="nil"/>
              <w:right w:val="nil"/>
            </w:tcBorders>
            <w:shd w:val="clear" w:color="000000" w:fill="FFFFFF"/>
            <w:noWrap/>
            <w:vAlign w:val="center"/>
            <w:hideMark/>
          </w:tcPr>
          <w:p w14:paraId="0180676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850" w:type="dxa"/>
            <w:tcBorders>
              <w:top w:val="nil"/>
              <w:left w:val="nil"/>
              <w:bottom w:val="nil"/>
              <w:right w:val="nil"/>
            </w:tcBorders>
            <w:shd w:val="clear" w:color="000000" w:fill="FFFFFF"/>
            <w:noWrap/>
            <w:vAlign w:val="center"/>
            <w:hideMark/>
          </w:tcPr>
          <w:p w14:paraId="360AE7B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860" w:type="dxa"/>
            <w:tcBorders>
              <w:top w:val="nil"/>
              <w:left w:val="nil"/>
              <w:bottom w:val="nil"/>
              <w:right w:val="single" w:sz="8" w:space="0" w:color="auto"/>
            </w:tcBorders>
            <w:shd w:val="clear" w:color="000000" w:fill="FFFFFF"/>
            <w:noWrap/>
            <w:vAlign w:val="center"/>
            <w:hideMark/>
          </w:tcPr>
          <w:p w14:paraId="5B67BAB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r>
      <w:tr w:rsidR="00A92936" w:rsidRPr="00A92936" w14:paraId="1F904A79" w14:textId="77777777" w:rsidTr="007C12C3">
        <w:trPr>
          <w:trHeight w:val="465"/>
        </w:trPr>
        <w:tc>
          <w:tcPr>
            <w:tcW w:w="1007" w:type="dxa"/>
            <w:vMerge/>
            <w:tcBorders>
              <w:top w:val="nil"/>
              <w:left w:val="single" w:sz="8" w:space="0" w:color="auto"/>
              <w:bottom w:val="double" w:sz="6" w:space="0" w:color="000000"/>
              <w:right w:val="nil"/>
            </w:tcBorders>
            <w:vAlign w:val="center"/>
            <w:hideMark/>
          </w:tcPr>
          <w:p w14:paraId="0989D38E"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double" w:sz="6" w:space="0" w:color="auto"/>
              <w:right w:val="nil"/>
            </w:tcBorders>
            <w:shd w:val="clear" w:color="000000" w:fill="FFFFFF"/>
            <w:vAlign w:val="center"/>
            <w:hideMark/>
          </w:tcPr>
          <w:p w14:paraId="07859A7F"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819" w:type="dxa"/>
            <w:tcBorders>
              <w:top w:val="nil"/>
              <w:left w:val="single" w:sz="8" w:space="0" w:color="auto"/>
              <w:bottom w:val="double" w:sz="6" w:space="0" w:color="auto"/>
              <w:right w:val="nil"/>
            </w:tcBorders>
            <w:shd w:val="clear" w:color="000000" w:fill="FFFFFF"/>
            <w:noWrap/>
            <w:vAlign w:val="center"/>
            <w:hideMark/>
          </w:tcPr>
          <w:p w14:paraId="2B84BE8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2.4</w:t>
            </w:r>
          </w:p>
        </w:tc>
        <w:tc>
          <w:tcPr>
            <w:tcW w:w="747" w:type="dxa"/>
            <w:tcBorders>
              <w:top w:val="nil"/>
              <w:left w:val="nil"/>
              <w:bottom w:val="double" w:sz="6" w:space="0" w:color="auto"/>
              <w:right w:val="nil"/>
            </w:tcBorders>
            <w:shd w:val="clear" w:color="000000" w:fill="FFFFFF"/>
            <w:noWrap/>
            <w:vAlign w:val="center"/>
            <w:hideMark/>
          </w:tcPr>
          <w:p w14:paraId="1E8ED47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c>
          <w:tcPr>
            <w:tcW w:w="850" w:type="dxa"/>
            <w:tcBorders>
              <w:top w:val="nil"/>
              <w:left w:val="nil"/>
              <w:bottom w:val="double" w:sz="6" w:space="0" w:color="auto"/>
              <w:right w:val="nil"/>
            </w:tcBorders>
            <w:shd w:val="clear" w:color="000000" w:fill="FFFFFF"/>
            <w:noWrap/>
            <w:vAlign w:val="center"/>
            <w:hideMark/>
          </w:tcPr>
          <w:p w14:paraId="687A416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2.1</w:t>
            </w:r>
          </w:p>
        </w:tc>
        <w:tc>
          <w:tcPr>
            <w:tcW w:w="851" w:type="dxa"/>
            <w:tcBorders>
              <w:top w:val="nil"/>
              <w:left w:val="nil"/>
              <w:bottom w:val="double" w:sz="6" w:space="0" w:color="auto"/>
              <w:right w:val="single" w:sz="8" w:space="0" w:color="auto"/>
            </w:tcBorders>
            <w:shd w:val="clear" w:color="000000" w:fill="FFFFFF"/>
            <w:noWrap/>
            <w:vAlign w:val="center"/>
            <w:hideMark/>
          </w:tcPr>
          <w:p w14:paraId="352D157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845" w:type="dxa"/>
            <w:tcBorders>
              <w:top w:val="nil"/>
              <w:left w:val="nil"/>
              <w:bottom w:val="double" w:sz="6" w:space="0" w:color="auto"/>
              <w:right w:val="nil"/>
            </w:tcBorders>
            <w:shd w:val="clear" w:color="000000" w:fill="FFFFFF"/>
            <w:noWrap/>
            <w:vAlign w:val="center"/>
            <w:hideMark/>
          </w:tcPr>
          <w:p w14:paraId="1D9E584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744" w:type="dxa"/>
            <w:tcBorders>
              <w:top w:val="nil"/>
              <w:left w:val="nil"/>
              <w:bottom w:val="double" w:sz="6" w:space="0" w:color="auto"/>
              <w:right w:val="nil"/>
            </w:tcBorders>
            <w:shd w:val="clear" w:color="000000" w:fill="FFFFFF"/>
            <w:noWrap/>
            <w:vAlign w:val="center"/>
            <w:hideMark/>
          </w:tcPr>
          <w:p w14:paraId="5EAD0C3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850" w:type="dxa"/>
            <w:tcBorders>
              <w:top w:val="nil"/>
              <w:left w:val="nil"/>
              <w:bottom w:val="double" w:sz="6" w:space="0" w:color="auto"/>
              <w:right w:val="nil"/>
            </w:tcBorders>
            <w:shd w:val="clear" w:color="000000" w:fill="FFFFFF"/>
            <w:noWrap/>
            <w:vAlign w:val="center"/>
            <w:hideMark/>
          </w:tcPr>
          <w:p w14:paraId="2FBA2F7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2.7</w:t>
            </w:r>
          </w:p>
        </w:tc>
        <w:tc>
          <w:tcPr>
            <w:tcW w:w="860" w:type="dxa"/>
            <w:tcBorders>
              <w:top w:val="nil"/>
              <w:left w:val="nil"/>
              <w:bottom w:val="double" w:sz="6" w:space="0" w:color="auto"/>
              <w:right w:val="single" w:sz="8" w:space="0" w:color="auto"/>
            </w:tcBorders>
            <w:shd w:val="clear" w:color="000000" w:fill="FFFFFF"/>
            <w:noWrap/>
            <w:vAlign w:val="center"/>
            <w:hideMark/>
          </w:tcPr>
          <w:p w14:paraId="14BC86E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r>
      <w:tr w:rsidR="00A92936" w:rsidRPr="00A92936" w14:paraId="251D7999" w14:textId="77777777" w:rsidTr="007C12C3">
        <w:trPr>
          <w:trHeight w:val="270"/>
        </w:trPr>
        <w:tc>
          <w:tcPr>
            <w:tcW w:w="1007" w:type="dxa"/>
            <w:vMerge w:val="restart"/>
            <w:tcBorders>
              <w:top w:val="nil"/>
              <w:left w:val="single" w:sz="8" w:space="0" w:color="auto"/>
              <w:bottom w:val="double" w:sz="6" w:space="0" w:color="000000"/>
              <w:right w:val="nil"/>
            </w:tcBorders>
            <w:shd w:val="clear" w:color="000000" w:fill="FFFFFF"/>
            <w:vAlign w:val="center"/>
            <w:hideMark/>
          </w:tcPr>
          <w:p w14:paraId="7D85D5C6"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adolescentes de 12 a 14 años</w:t>
            </w:r>
          </w:p>
        </w:tc>
        <w:tc>
          <w:tcPr>
            <w:tcW w:w="1245" w:type="dxa"/>
            <w:tcBorders>
              <w:top w:val="nil"/>
              <w:left w:val="nil"/>
              <w:bottom w:val="nil"/>
              <w:right w:val="nil"/>
            </w:tcBorders>
            <w:shd w:val="clear" w:color="000000" w:fill="FFFFFF"/>
            <w:vAlign w:val="center"/>
            <w:hideMark/>
          </w:tcPr>
          <w:p w14:paraId="12671A9F"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819" w:type="dxa"/>
            <w:tcBorders>
              <w:top w:val="nil"/>
              <w:left w:val="single" w:sz="8" w:space="0" w:color="auto"/>
              <w:bottom w:val="nil"/>
              <w:right w:val="nil"/>
            </w:tcBorders>
            <w:shd w:val="clear" w:color="000000" w:fill="FFFFFF"/>
            <w:noWrap/>
            <w:vAlign w:val="center"/>
            <w:hideMark/>
          </w:tcPr>
          <w:p w14:paraId="18750BD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47" w:type="dxa"/>
            <w:tcBorders>
              <w:top w:val="nil"/>
              <w:left w:val="nil"/>
              <w:bottom w:val="nil"/>
              <w:right w:val="nil"/>
            </w:tcBorders>
            <w:shd w:val="clear" w:color="000000" w:fill="FFFFFF"/>
            <w:noWrap/>
            <w:vAlign w:val="center"/>
            <w:hideMark/>
          </w:tcPr>
          <w:p w14:paraId="5D534AC2"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50" w:type="dxa"/>
            <w:tcBorders>
              <w:top w:val="nil"/>
              <w:left w:val="nil"/>
              <w:bottom w:val="nil"/>
              <w:right w:val="nil"/>
            </w:tcBorders>
            <w:shd w:val="clear" w:color="000000" w:fill="FFFFFF"/>
            <w:noWrap/>
            <w:vAlign w:val="center"/>
            <w:hideMark/>
          </w:tcPr>
          <w:p w14:paraId="5F67DBA7"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851" w:type="dxa"/>
            <w:tcBorders>
              <w:top w:val="nil"/>
              <w:left w:val="nil"/>
              <w:bottom w:val="nil"/>
              <w:right w:val="single" w:sz="8" w:space="0" w:color="auto"/>
            </w:tcBorders>
            <w:shd w:val="clear" w:color="000000" w:fill="FFFFFF"/>
            <w:noWrap/>
            <w:vAlign w:val="center"/>
            <w:hideMark/>
          </w:tcPr>
          <w:p w14:paraId="2E62741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c>
          <w:tcPr>
            <w:tcW w:w="845" w:type="dxa"/>
            <w:tcBorders>
              <w:top w:val="nil"/>
              <w:left w:val="nil"/>
              <w:bottom w:val="nil"/>
              <w:right w:val="nil"/>
            </w:tcBorders>
            <w:shd w:val="clear" w:color="000000" w:fill="FFFFFF"/>
            <w:noWrap/>
            <w:vAlign w:val="center"/>
            <w:hideMark/>
          </w:tcPr>
          <w:p w14:paraId="120BF80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744" w:type="dxa"/>
            <w:tcBorders>
              <w:top w:val="nil"/>
              <w:left w:val="nil"/>
              <w:bottom w:val="nil"/>
              <w:right w:val="nil"/>
            </w:tcBorders>
            <w:shd w:val="clear" w:color="000000" w:fill="FFFFFF"/>
            <w:noWrap/>
            <w:vAlign w:val="center"/>
            <w:hideMark/>
          </w:tcPr>
          <w:p w14:paraId="70364F46"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2.1</w:t>
            </w:r>
          </w:p>
        </w:tc>
        <w:tc>
          <w:tcPr>
            <w:tcW w:w="850" w:type="dxa"/>
            <w:tcBorders>
              <w:top w:val="nil"/>
              <w:left w:val="nil"/>
              <w:bottom w:val="nil"/>
              <w:right w:val="nil"/>
            </w:tcBorders>
            <w:shd w:val="clear" w:color="000000" w:fill="FFFFFF"/>
            <w:noWrap/>
            <w:vAlign w:val="center"/>
            <w:hideMark/>
          </w:tcPr>
          <w:p w14:paraId="6E8C158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c>
          <w:tcPr>
            <w:tcW w:w="860" w:type="dxa"/>
            <w:tcBorders>
              <w:top w:val="nil"/>
              <w:left w:val="nil"/>
              <w:bottom w:val="nil"/>
              <w:right w:val="single" w:sz="8" w:space="0" w:color="auto"/>
            </w:tcBorders>
            <w:shd w:val="clear" w:color="000000" w:fill="FFFFFF"/>
            <w:noWrap/>
            <w:vAlign w:val="center"/>
            <w:hideMark/>
          </w:tcPr>
          <w:p w14:paraId="0F21F76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2.3</w:t>
            </w:r>
          </w:p>
        </w:tc>
      </w:tr>
      <w:tr w:rsidR="00A92936" w:rsidRPr="00A92936" w14:paraId="0E120F02"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76CE9F1F"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6FBB5F78"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819" w:type="dxa"/>
            <w:tcBorders>
              <w:top w:val="nil"/>
              <w:left w:val="single" w:sz="8" w:space="0" w:color="auto"/>
              <w:bottom w:val="nil"/>
              <w:right w:val="nil"/>
            </w:tcBorders>
            <w:shd w:val="clear" w:color="000000" w:fill="FFFFFF"/>
            <w:noWrap/>
            <w:vAlign w:val="center"/>
            <w:hideMark/>
          </w:tcPr>
          <w:p w14:paraId="024A7E8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747" w:type="dxa"/>
            <w:tcBorders>
              <w:top w:val="nil"/>
              <w:left w:val="nil"/>
              <w:bottom w:val="nil"/>
              <w:right w:val="nil"/>
            </w:tcBorders>
            <w:shd w:val="clear" w:color="000000" w:fill="FFFFFF"/>
            <w:noWrap/>
            <w:vAlign w:val="center"/>
            <w:hideMark/>
          </w:tcPr>
          <w:p w14:paraId="7EE3AA5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0" w:type="dxa"/>
            <w:tcBorders>
              <w:top w:val="nil"/>
              <w:left w:val="nil"/>
              <w:bottom w:val="nil"/>
              <w:right w:val="nil"/>
            </w:tcBorders>
            <w:shd w:val="clear" w:color="000000" w:fill="FFFFFF"/>
            <w:noWrap/>
            <w:vAlign w:val="center"/>
            <w:hideMark/>
          </w:tcPr>
          <w:p w14:paraId="7F0BEF5A"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851" w:type="dxa"/>
            <w:tcBorders>
              <w:top w:val="nil"/>
              <w:left w:val="nil"/>
              <w:bottom w:val="nil"/>
              <w:right w:val="single" w:sz="8" w:space="0" w:color="auto"/>
            </w:tcBorders>
            <w:shd w:val="clear" w:color="000000" w:fill="FFFFFF"/>
            <w:noWrap/>
            <w:vAlign w:val="center"/>
            <w:hideMark/>
          </w:tcPr>
          <w:p w14:paraId="07EA55B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45" w:type="dxa"/>
            <w:tcBorders>
              <w:top w:val="nil"/>
              <w:left w:val="nil"/>
              <w:bottom w:val="nil"/>
              <w:right w:val="nil"/>
            </w:tcBorders>
            <w:shd w:val="clear" w:color="000000" w:fill="FFFFFF"/>
            <w:noWrap/>
            <w:vAlign w:val="center"/>
            <w:hideMark/>
          </w:tcPr>
          <w:p w14:paraId="43E83237"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744" w:type="dxa"/>
            <w:tcBorders>
              <w:top w:val="nil"/>
              <w:left w:val="nil"/>
              <w:bottom w:val="nil"/>
              <w:right w:val="nil"/>
            </w:tcBorders>
            <w:shd w:val="clear" w:color="000000" w:fill="FFFFFF"/>
            <w:noWrap/>
            <w:vAlign w:val="center"/>
            <w:hideMark/>
          </w:tcPr>
          <w:p w14:paraId="3DDB39C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50" w:type="dxa"/>
            <w:tcBorders>
              <w:top w:val="nil"/>
              <w:left w:val="nil"/>
              <w:bottom w:val="nil"/>
              <w:right w:val="nil"/>
            </w:tcBorders>
            <w:shd w:val="clear" w:color="000000" w:fill="FFFFFF"/>
            <w:noWrap/>
            <w:vAlign w:val="center"/>
            <w:hideMark/>
          </w:tcPr>
          <w:p w14:paraId="1E4554C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60" w:type="dxa"/>
            <w:tcBorders>
              <w:top w:val="nil"/>
              <w:left w:val="nil"/>
              <w:bottom w:val="nil"/>
              <w:right w:val="single" w:sz="8" w:space="0" w:color="auto"/>
            </w:tcBorders>
            <w:shd w:val="clear" w:color="000000" w:fill="FFFFFF"/>
            <w:noWrap/>
            <w:vAlign w:val="center"/>
            <w:hideMark/>
          </w:tcPr>
          <w:p w14:paraId="64D3027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r>
      <w:tr w:rsidR="00A92936" w:rsidRPr="00A92936" w14:paraId="1004B256"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65D684A9"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71AC256D"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819" w:type="dxa"/>
            <w:tcBorders>
              <w:top w:val="nil"/>
              <w:left w:val="single" w:sz="8" w:space="0" w:color="auto"/>
              <w:bottom w:val="nil"/>
              <w:right w:val="nil"/>
            </w:tcBorders>
            <w:shd w:val="clear" w:color="000000" w:fill="FFFFFF"/>
            <w:noWrap/>
            <w:vAlign w:val="center"/>
            <w:hideMark/>
          </w:tcPr>
          <w:p w14:paraId="7424C53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7" w:type="dxa"/>
            <w:tcBorders>
              <w:top w:val="nil"/>
              <w:left w:val="nil"/>
              <w:bottom w:val="nil"/>
              <w:right w:val="nil"/>
            </w:tcBorders>
            <w:shd w:val="clear" w:color="000000" w:fill="FFFFFF"/>
            <w:noWrap/>
            <w:vAlign w:val="center"/>
            <w:hideMark/>
          </w:tcPr>
          <w:p w14:paraId="41AF1B0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850" w:type="dxa"/>
            <w:tcBorders>
              <w:top w:val="nil"/>
              <w:left w:val="nil"/>
              <w:bottom w:val="nil"/>
              <w:right w:val="nil"/>
            </w:tcBorders>
            <w:shd w:val="clear" w:color="000000" w:fill="FFFFFF"/>
            <w:noWrap/>
            <w:vAlign w:val="center"/>
            <w:hideMark/>
          </w:tcPr>
          <w:p w14:paraId="75AC0CF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51" w:type="dxa"/>
            <w:tcBorders>
              <w:top w:val="nil"/>
              <w:left w:val="nil"/>
              <w:bottom w:val="nil"/>
              <w:right w:val="single" w:sz="8" w:space="0" w:color="auto"/>
            </w:tcBorders>
            <w:shd w:val="clear" w:color="000000" w:fill="FFFFFF"/>
            <w:noWrap/>
            <w:vAlign w:val="center"/>
            <w:hideMark/>
          </w:tcPr>
          <w:p w14:paraId="647964F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845" w:type="dxa"/>
            <w:tcBorders>
              <w:top w:val="nil"/>
              <w:left w:val="nil"/>
              <w:bottom w:val="nil"/>
              <w:right w:val="nil"/>
            </w:tcBorders>
            <w:shd w:val="clear" w:color="000000" w:fill="FFFFFF"/>
            <w:noWrap/>
            <w:vAlign w:val="center"/>
            <w:hideMark/>
          </w:tcPr>
          <w:p w14:paraId="202476C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44" w:type="dxa"/>
            <w:tcBorders>
              <w:top w:val="nil"/>
              <w:left w:val="nil"/>
              <w:bottom w:val="nil"/>
              <w:right w:val="nil"/>
            </w:tcBorders>
            <w:shd w:val="clear" w:color="000000" w:fill="FFFFFF"/>
            <w:noWrap/>
            <w:vAlign w:val="center"/>
            <w:hideMark/>
          </w:tcPr>
          <w:p w14:paraId="31ECCE7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c>
          <w:tcPr>
            <w:tcW w:w="850" w:type="dxa"/>
            <w:tcBorders>
              <w:top w:val="nil"/>
              <w:left w:val="nil"/>
              <w:bottom w:val="nil"/>
              <w:right w:val="nil"/>
            </w:tcBorders>
            <w:shd w:val="clear" w:color="000000" w:fill="FFFFFF"/>
            <w:noWrap/>
            <w:vAlign w:val="center"/>
            <w:hideMark/>
          </w:tcPr>
          <w:p w14:paraId="64B86FF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860" w:type="dxa"/>
            <w:tcBorders>
              <w:top w:val="nil"/>
              <w:left w:val="nil"/>
              <w:bottom w:val="nil"/>
              <w:right w:val="single" w:sz="8" w:space="0" w:color="auto"/>
            </w:tcBorders>
            <w:shd w:val="clear" w:color="000000" w:fill="FFFFFF"/>
            <w:noWrap/>
            <w:vAlign w:val="center"/>
            <w:hideMark/>
          </w:tcPr>
          <w:p w14:paraId="12ACF376"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r>
      <w:tr w:rsidR="00A92936" w:rsidRPr="00A92936" w14:paraId="3BD04A83"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1F3A5720"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1C2D1DDA"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819" w:type="dxa"/>
            <w:tcBorders>
              <w:top w:val="nil"/>
              <w:left w:val="single" w:sz="8" w:space="0" w:color="auto"/>
              <w:bottom w:val="nil"/>
              <w:right w:val="nil"/>
            </w:tcBorders>
            <w:shd w:val="clear" w:color="000000" w:fill="FFFFFF"/>
            <w:noWrap/>
            <w:vAlign w:val="center"/>
            <w:hideMark/>
          </w:tcPr>
          <w:p w14:paraId="09DEE2A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47" w:type="dxa"/>
            <w:tcBorders>
              <w:top w:val="nil"/>
              <w:left w:val="nil"/>
              <w:bottom w:val="nil"/>
              <w:right w:val="nil"/>
            </w:tcBorders>
            <w:shd w:val="clear" w:color="000000" w:fill="FFFFFF"/>
            <w:noWrap/>
            <w:vAlign w:val="center"/>
            <w:hideMark/>
          </w:tcPr>
          <w:p w14:paraId="46A9EBD2"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50" w:type="dxa"/>
            <w:tcBorders>
              <w:top w:val="nil"/>
              <w:left w:val="nil"/>
              <w:bottom w:val="nil"/>
              <w:right w:val="nil"/>
            </w:tcBorders>
            <w:shd w:val="clear" w:color="000000" w:fill="FFFFFF"/>
            <w:noWrap/>
            <w:vAlign w:val="center"/>
            <w:hideMark/>
          </w:tcPr>
          <w:p w14:paraId="7FC8B83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c>
          <w:tcPr>
            <w:tcW w:w="851" w:type="dxa"/>
            <w:tcBorders>
              <w:top w:val="nil"/>
              <w:left w:val="nil"/>
              <w:bottom w:val="nil"/>
              <w:right w:val="single" w:sz="8" w:space="0" w:color="auto"/>
            </w:tcBorders>
            <w:shd w:val="clear" w:color="000000" w:fill="FFFFFF"/>
            <w:noWrap/>
            <w:vAlign w:val="center"/>
            <w:hideMark/>
          </w:tcPr>
          <w:p w14:paraId="5251246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c>
          <w:tcPr>
            <w:tcW w:w="845" w:type="dxa"/>
            <w:tcBorders>
              <w:top w:val="nil"/>
              <w:left w:val="nil"/>
              <w:bottom w:val="nil"/>
              <w:right w:val="nil"/>
            </w:tcBorders>
            <w:shd w:val="clear" w:color="000000" w:fill="FFFFFF"/>
            <w:noWrap/>
            <w:vAlign w:val="center"/>
            <w:hideMark/>
          </w:tcPr>
          <w:p w14:paraId="0DED487A"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744" w:type="dxa"/>
            <w:tcBorders>
              <w:top w:val="nil"/>
              <w:left w:val="nil"/>
              <w:bottom w:val="nil"/>
              <w:right w:val="nil"/>
            </w:tcBorders>
            <w:shd w:val="clear" w:color="000000" w:fill="FFFFFF"/>
            <w:noWrap/>
            <w:vAlign w:val="center"/>
            <w:hideMark/>
          </w:tcPr>
          <w:p w14:paraId="63021C6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c>
          <w:tcPr>
            <w:tcW w:w="850" w:type="dxa"/>
            <w:tcBorders>
              <w:top w:val="nil"/>
              <w:left w:val="nil"/>
              <w:bottom w:val="nil"/>
              <w:right w:val="nil"/>
            </w:tcBorders>
            <w:shd w:val="clear" w:color="000000" w:fill="FFFFFF"/>
            <w:noWrap/>
            <w:vAlign w:val="center"/>
            <w:hideMark/>
          </w:tcPr>
          <w:p w14:paraId="6307879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c>
          <w:tcPr>
            <w:tcW w:w="860" w:type="dxa"/>
            <w:tcBorders>
              <w:top w:val="nil"/>
              <w:left w:val="nil"/>
              <w:bottom w:val="nil"/>
              <w:right w:val="single" w:sz="8" w:space="0" w:color="auto"/>
            </w:tcBorders>
            <w:shd w:val="clear" w:color="000000" w:fill="FFFFFF"/>
            <w:noWrap/>
            <w:vAlign w:val="center"/>
            <w:hideMark/>
          </w:tcPr>
          <w:p w14:paraId="32E950D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2.3</w:t>
            </w:r>
          </w:p>
        </w:tc>
      </w:tr>
      <w:tr w:rsidR="00A92936" w:rsidRPr="00A92936" w14:paraId="4FFFB8F7" w14:textId="77777777" w:rsidTr="007C12C3">
        <w:trPr>
          <w:trHeight w:val="465"/>
        </w:trPr>
        <w:tc>
          <w:tcPr>
            <w:tcW w:w="1007" w:type="dxa"/>
            <w:vMerge/>
            <w:tcBorders>
              <w:top w:val="nil"/>
              <w:left w:val="single" w:sz="8" w:space="0" w:color="auto"/>
              <w:bottom w:val="double" w:sz="6" w:space="0" w:color="000000"/>
              <w:right w:val="nil"/>
            </w:tcBorders>
            <w:vAlign w:val="center"/>
            <w:hideMark/>
          </w:tcPr>
          <w:p w14:paraId="40C752B7"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double" w:sz="6" w:space="0" w:color="auto"/>
              <w:right w:val="nil"/>
            </w:tcBorders>
            <w:shd w:val="clear" w:color="000000" w:fill="FFFFFF"/>
            <w:vAlign w:val="center"/>
            <w:hideMark/>
          </w:tcPr>
          <w:p w14:paraId="39BD0921"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819" w:type="dxa"/>
            <w:tcBorders>
              <w:top w:val="nil"/>
              <w:left w:val="single" w:sz="8" w:space="0" w:color="auto"/>
              <w:bottom w:val="double" w:sz="6" w:space="0" w:color="auto"/>
              <w:right w:val="nil"/>
            </w:tcBorders>
            <w:shd w:val="clear" w:color="000000" w:fill="FFFFFF"/>
            <w:noWrap/>
            <w:vAlign w:val="center"/>
            <w:hideMark/>
          </w:tcPr>
          <w:p w14:paraId="2413F7E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1.8</w:t>
            </w:r>
          </w:p>
        </w:tc>
        <w:tc>
          <w:tcPr>
            <w:tcW w:w="747" w:type="dxa"/>
            <w:tcBorders>
              <w:top w:val="nil"/>
              <w:left w:val="nil"/>
              <w:bottom w:val="double" w:sz="6" w:space="0" w:color="auto"/>
              <w:right w:val="nil"/>
            </w:tcBorders>
            <w:shd w:val="clear" w:color="000000" w:fill="FFFFFF"/>
            <w:noWrap/>
            <w:vAlign w:val="center"/>
            <w:hideMark/>
          </w:tcPr>
          <w:p w14:paraId="2D1931C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850" w:type="dxa"/>
            <w:tcBorders>
              <w:top w:val="nil"/>
              <w:left w:val="nil"/>
              <w:bottom w:val="double" w:sz="6" w:space="0" w:color="auto"/>
              <w:right w:val="nil"/>
            </w:tcBorders>
            <w:shd w:val="clear" w:color="000000" w:fill="FFFFFF"/>
            <w:noWrap/>
            <w:vAlign w:val="center"/>
            <w:hideMark/>
          </w:tcPr>
          <w:p w14:paraId="3A9689B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c>
          <w:tcPr>
            <w:tcW w:w="851" w:type="dxa"/>
            <w:tcBorders>
              <w:top w:val="nil"/>
              <w:left w:val="nil"/>
              <w:bottom w:val="double" w:sz="6" w:space="0" w:color="auto"/>
              <w:right w:val="single" w:sz="8" w:space="0" w:color="auto"/>
            </w:tcBorders>
            <w:shd w:val="clear" w:color="000000" w:fill="FFFFFF"/>
            <w:noWrap/>
            <w:vAlign w:val="center"/>
            <w:hideMark/>
          </w:tcPr>
          <w:p w14:paraId="3C2EDC3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c>
          <w:tcPr>
            <w:tcW w:w="845" w:type="dxa"/>
            <w:tcBorders>
              <w:top w:val="nil"/>
              <w:left w:val="nil"/>
              <w:bottom w:val="double" w:sz="6" w:space="0" w:color="auto"/>
              <w:right w:val="nil"/>
            </w:tcBorders>
            <w:shd w:val="clear" w:color="000000" w:fill="FFFFFF"/>
            <w:noWrap/>
            <w:vAlign w:val="center"/>
            <w:hideMark/>
          </w:tcPr>
          <w:p w14:paraId="6CC331E6"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2.1</w:t>
            </w:r>
          </w:p>
        </w:tc>
        <w:tc>
          <w:tcPr>
            <w:tcW w:w="744" w:type="dxa"/>
            <w:tcBorders>
              <w:top w:val="nil"/>
              <w:left w:val="nil"/>
              <w:bottom w:val="double" w:sz="6" w:space="0" w:color="auto"/>
              <w:right w:val="nil"/>
            </w:tcBorders>
            <w:shd w:val="clear" w:color="000000" w:fill="FFFFFF"/>
            <w:noWrap/>
            <w:vAlign w:val="center"/>
            <w:hideMark/>
          </w:tcPr>
          <w:p w14:paraId="175E316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2.3</w:t>
            </w:r>
          </w:p>
        </w:tc>
        <w:tc>
          <w:tcPr>
            <w:tcW w:w="850" w:type="dxa"/>
            <w:tcBorders>
              <w:top w:val="nil"/>
              <w:left w:val="nil"/>
              <w:bottom w:val="double" w:sz="6" w:space="0" w:color="auto"/>
              <w:right w:val="nil"/>
            </w:tcBorders>
            <w:shd w:val="clear" w:color="000000" w:fill="FFFFFF"/>
            <w:noWrap/>
            <w:vAlign w:val="center"/>
            <w:hideMark/>
          </w:tcPr>
          <w:p w14:paraId="139AF99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c>
          <w:tcPr>
            <w:tcW w:w="860" w:type="dxa"/>
            <w:tcBorders>
              <w:top w:val="nil"/>
              <w:left w:val="nil"/>
              <w:bottom w:val="double" w:sz="6" w:space="0" w:color="auto"/>
              <w:right w:val="single" w:sz="8" w:space="0" w:color="auto"/>
            </w:tcBorders>
            <w:shd w:val="clear" w:color="000000" w:fill="FFFFFF"/>
            <w:noWrap/>
            <w:vAlign w:val="center"/>
            <w:hideMark/>
          </w:tcPr>
          <w:p w14:paraId="3B65EB46"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r>
      <w:tr w:rsidR="00A92936" w:rsidRPr="00A92936" w14:paraId="57B569BF" w14:textId="77777777" w:rsidTr="007C12C3">
        <w:trPr>
          <w:trHeight w:val="270"/>
        </w:trPr>
        <w:tc>
          <w:tcPr>
            <w:tcW w:w="1007" w:type="dxa"/>
            <w:vMerge w:val="restart"/>
            <w:tcBorders>
              <w:top w:val="nil"/>
              <w:left w:val="single" w:sz="8" w:space="0" w:color="auto"/>
              <w:bottom w:val="double" w:sz="6" w:space="0" w:color="000000"/>
              <w:right w:val="nil"/>
            </w:tcBorders>
            <w:shd w:val="clear" w:color="000000" w:fill="FFFFFF"/>
            <w:vAlign w:val="center"/>
            <w:hideMark/>
          </w:tcPr>
          <w:p w14:paraId="2067C216"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jóvenes de 15 a 17 años</w:t>
            </w:r>
          </w:p>
        </w:tc>
        <w:tc>
          <w:tcPr>
            <w:tcW w:w="1245" w:type="dxa"/>
            <w:tcBorders>
              <w:top w:val="nil"/>
              <w:left w:val="nil"/>
              <w:bottom w:val="nil"/>
              <w:right w:val="nil"/>
            </w:tcBorders>
            <w:shd w:val="clear" w:color="000000" w:fill="FFFFFF"/>
            <w:vAlign w:val="center"/>
            <w:hideMark/>
          </w:tcPr>
          <w:p w14:paraId="478D7E1D"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819" w:type="dxa"/>
            <w:tcBorders>
              <w:top w:val="nil"/>
              <w:left w:val="single" w:sz="8" w:space="0" w:color="auto"/>
              <w:bottom w:val="nil"/>
              <w:right w:val="nil"/>
            </w:tcBorders>
            <w:shd w:val="clear" w:color="000000" w:fill="FFFFFF"/>
            <w:noWrap/>
            <w:vAlign w:val="center"/>
            <w:hideMark/>
          </w:tcPr>
          <w:p w14:paraId="1A2BFA4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747" w:type="dxa"/>
            <w:tcBorders>
              <w:top w:val="nil"/>
              <w:left w:val="nil"/>
              <w:bottom w:val="nil"/>
              <w:right w:val="nil"/>
            </w:tcBorders>
            <w:shd w:val="clear" w:color="000000" w:fill="FFFFFF"/>
            <w:noWrap/>
            <w:vAlign w:val="center"/>
            <w:hideMark/>
          </w:tcPr>
          <w:p w14:paraId="242C295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850" w:type="dxa"/>
            <w:tcBorders>
              <w:top w:val="nil"/>
              <w:left w:val="nil"/>
              <w:bottom w:val="nil"/>
              <w:right w:val="nil"/>
            </w:tcBorders>
            <w:shd w:val="clear" w:color="000000" w:fill="FFFFFF"/>
            <w:noWrap/>
            <w:vAlign w:val="center"/>
            <w:hideMark/>
          </w:tcPr>
          <w:p w14:paraId="4D39C78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1" w:type="dxa"/>
            <w:tcBorders>
              <w:top w:val="nil"/>
              <w:left w:val="nil"/>
              <w:bottom w:val="nil"/>
              <w:right w:val="single" w:sz="8" w:space="0" w:color="auto"/>
            </w:tcBorders>
            <w:shd w:val="clear" w:color="000000" w:fill="FFFFFF"/>
            <w:noWrap/>
            <w:vAlign w:val="center"/>
            <w:hideMark/>
          </w:tcPr>
          <w:p w14:paraId="3CA7EA8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845" w:type="dxa"/>
            <w:tcBorders>
              <w:top w:val="nil"/>
              <w:left w:val="nil"/>
              <w:bottom w:val="nil"/>
              <w:right w:val="nil"/>
            </w:tcBorders>
            <w:shd w:val="clear" w:color="000000" w:fill="FFFFFF"/>
            <w:noWrap/>
            <w:vAlign w:val="center"/>
            <w:hideMark/>
          </w:tcPr>
          <w:p w14:paraId="10DDBD4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744" w:type="dxa"/>
            <w:tcBorders>
              <w:top w:val="nil"/>
              <w:left w:val="nil"/>
              <w:bottom w:val="nil"/>
              <w:right w:val="nil"/>
            </w:tcBorders>
            <w:shd w:val="clear" w:color="000000" w:fill="FFFFFF"/>
            <w:noWrap/>
            <w:vAlign w:val="center"/>
            <w:hideMark/>
          </w:tcPr>
          <w:p w14:paraId="25B3EE8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1.8</w:t>
            </w:r>
          </w:p>
        </w:tc>
        <w:tc>
          <w:tcPr>
            <w:tcW w:w="850" w:type="dxa"/>
            <w:tcBorders>
              <w:top w:val="nil"/>
              <w:left w:val="nil"/>
              <w:bottom w:val="nil"/>
              <w:right w:val="nil"/>
            </w:tcBorders>
            <w:shd w:val="clear" w:color="000000" w:fill="FFFFFF"/>
            <w:noWrap/>
            <w:vAlign w:val="center"/>
            <w:hideMark/>
          </w:tcPr>
          <w:p w14:paraId="02D30D7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860" w:type="dxa"/>
            <w:tcBorders>
              <w:top w:val="nil"/>
              <w:left w:val="nil"/>
              <w:bottom w:val="nil"/>
              <w:right w:val="single" w:sz="8" w:space="0" w:color="auto"/>
            </w:tcBorders>
            <w:shd w:val="clear" w:color="000000" w:fill="FFFFFF"/>
            <w:noWrap/>
            <w:vAlign w:val="center"/>
            <w:hideMark/>
          </w:tcPr>
          <w:p w14:paraId="75B9105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1.8</w:t>
            </w:r>
          </w:p>
        </w:tc>
      </w:tr>
      <w:tr w:rsidR="00A92936" w:rsidRPr="00A92936" w14:paraId="3ECC93D6"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65A6AA83"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45E85388"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819" w:type="dxa"/>
            <w:tcBorders>
              <w:top w:val="nil"/>
              <w:left w:val="single" w:sz="8" w:space="0" w:color="auto"/>
              <w:bottom w:val="nil"/>
              <w:right w:val="nil"/>
            </w:tcBorders>
            <w:shd w:val="clear" w:color="000000" w:fill="FFFFFF"/>
            <w:noWrap/>
            <w:vAlign w:val="center"/>
            <w:hideMark/>
          </w:tcPr>
          <w:p w14:paraId="7CD9707A"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7" w:type="dxa"/>
            <w:tcBorders>
              <w:top w:val="nil"/>
              <w:left w:val="nil"/>
              <w:bottom w:val="nil"/>
              <w:right w:val="nil"/>
            </w:tcBorders>
            <w:shd w:val="clear" w:color="000000" w:fill="FFFFFF"/>
            <w:noWrap/>
            <w:vAlign w:val="center"/>
            <w:hideMark/>
          </w:tcPr>
          <w:p w14:paraId="3CBD03F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850" w:type="dxa"/>
            <w:tcBorders>
              <w:top w:val="nil"/>
              <w:left w:val="nil"/>
              <w:bottom w:val="nil"/>
              <w:right w:val="nil"/>
            </w:tcBorders>
            <w:shd w:val="clear" w:color="000000" w:fill="FFFFFF"/>
            <w:noWrap/>
            <w:vAlign w:val="center"/>
            <w:hideMark/>
          </w:tcPr>
          <w:p w14:paraId="3A4ECA9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51" w:type="dxa"/>
            <w:tcBorders>
              <w:top w:val="nil"/>
              <w:left w:val="nil"/>
              <w:bottom w:val="nil"/>
              <w:right w:val="single" w:sz="8" w:space="0" w:color="auto"/>
            </w:tcBorders>
            <w:shd w:val="clear" w:color="000000" w:fill="FFFFFF"/>
            <w:noWrap/>
            <w:vAlign w:val="center"/>
            <w:hideMark/>
          </w:tcPr>
          <w:p w14:paraId="7BBDE55A"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45" w:type="dxa"/>
            <w:tcBorders>
              <w:top w:val="nil"/>
              <w:left w:val="nil"/>
              <w:bottom w:val="nil"/>
              <w:right w:val="nil"/>
            </w:tcBorders>
            <w:shd w:val="clear" w:color="000000" w:fill="FFFFFF"/>
            <w:noWrap/>
            <w:vAlign w:val="center"/>
            <w:hideMark/>
          </w:tcPr>
          <w:p w14:paraId="3F14B53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744" w:type="dxa"/>
            <w:tcBorders>
              <w:top w:val="nil"/>
              <w:left w:val="nil"/>
              <w:bottom w:val="nil"/>
              <w:right w:val="nil"/>
            </w:tcBorders>
            <w:shd w:val="clear" w:color="000000" w:fill="FFFFFF"/>
            <w:noWrap/>
            <w:vAlign w:val="center"/>
            <w:hideMark/>
          </w:tcPr>
          <w:p w14:paraId="1879D5A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850" w:type="dxa"/>
            <w:tcBorders>
              <w:top w:val="nil"/>
              <w:left w:val="nil"/>
              <w:bottom w:val="nil"/>
              <w:right w:val="nil"/>
            </w:tcBorders>
            <w:shd w:val="clear" w:color="000000" w:fill="FFFFFF"/>
            <w:noWrap/>
            <w:vAlign w:val="center"/>
            <w:hideMark/>
          </w:tcPr>
          <w:p w14:paraId="15054D9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60" w:type="dxa"/>
            <w:tcBorders>
              <w:top w:val="nil"/>
              <w:left w:val="nil"/>
              <w:bottom w:val="nil"/>
              <w:right w:val="single" w:sz="8" w:space="0" w:color="auto"/>
            </w:tcBorders>
            <w:shd w:val="clear" w:color="000000" w:fill="FFFFFF"/>
            <w:noWrap/>
            <w:vAlign w:val="center"/>
            <w:hideMark/>
          </w:tcPr>
          <w:p w14:paraId="077F6ED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r>
      <w:tr w:rsidR="00A92936" w:rsidRPr="00A92936" w14:paraId="759CDD92"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49504F22"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28F8B5C0"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819" w:type="dxa"/>
            <w:tcBorders>
              <w:top w:val="nil"/>
              <w:left w:val="single" w:sz="8" w:space="0" w:color="auto"/>
              <w:bottom w:val="nil"/>
              <w:right w:val="nil"/>
            </w:tcBorders>
            <w:shd w:val="clear" w:color="000000" w:fill="FFFFFF"/>
            <w:noWrap/>
            <w:vAlign w:val="center"/>
            <w:hideMark/>
          </w:tcPr>
          <w:p w14:paraId="68615DE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747" w:type="dxa"/>
            <w:tcBorders>
              <w:top w:val="nil"/>
              <w:left w:val="nil"/>
              <w:bottom w:val="nil"/>
              <w:right w:val="nil"/>
            </w:tcBorders>
            <w:shd w:val="clear" w:color="000000" w:fill="FFFFFF"/>
            <w:noWrap/>
            <w:vAlign w:val="center"/>
            <w:hideMark/>
          </w:tcPr>
          <w:p w14:paraId="7A5BD72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0" w:type="dxa"/>
            <w:tcBorders>
              <w:top w:val="nil"/>
              <w:left w:val="nil"/>
              <w:bottom w:val="nil"/>
              <w:right w:val="nil"/>
            </w:tcBorders>
            <w:shd w:val="clear" w:color="000000" w:fill="FFFFFF"/>
            <w:noWrap/>
            <w:vAlign w:val="center"/>
            <w:hideMark/>
          </w:tcPr>
          <w:p w14:paraId="305AFA5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1" w:type="dxa"/>
            <w:tcBorders>
              <w:top w:val="nil"/>
              <w:left w:val="nil"/>
              <w:bottom w:val="nil"/>
              <w:right w:val="single" w:sz="8" w:space="0" w:color="auto"/>
            </w:tcBorders>
            <w:shd w:val="clear" w:color="000000" w:fill="FFFFFF"/>
            <w:noWrap/>
            <w:vAlign w:val="center"/>
            <w:hideMark/>
          </w:tcPr>
          <w:p w14:paraId="2D43CF5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45" w:type="dxa"/>
            <w:tcBorders>
              <w:top w:val="nil"/>
              <w:left w:val="nil"/>
              <w:bottom w:val="nil"/>
              <w:right w:val="nil"/>
            </w:tcBorders>
            <w:shd w:val="clear" w:color="000000" w:fill="FFFFFF"/>
            <w:noWrap/>
            <w:vAlign w:val="center"/>
            <w:hideMark/>
          </w:tcPr>
          <w:p w14:paraId="1D75819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744" w:type="dxa"/>
            <w:tcBorders>
              <w:top w:val="nil"/>
              <w:left w:val="nil"/>
              <w:bottom w:val="nil"/>
              <w:right w:val="nil"/>
            </w:tcBorders>
            <w:shd w:val="clear" w:color="000000" w:fill="FFFFFF"/>
            <w:noWrap/>
            <w:vAlign w:val="center"/>
            <w:hideMark/>
          </w:tcPr>
          <w:p w14:paraId="3FF8460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850" w:type="dxa"/>
            <w:tcBorders>
              <w:top w:val="nil"/>
              <w:left w:val="nil"/>
              <w:bottom w:val="nil"/>
              <w:right w:val="nil"/>
            </w:tcBorders>
            <w:shd w:val="clear" w:color="000000" w:fill="FFFFFF"/>
            <w:noWrap/>
            <w:vAlign w:val="center"/>
            <w:hideMark/>
          </w:tcPr>
          <w:p w14:paraId="32A471A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60" w:type="dxa"/>
            <w:tcBorders>
              <w:top w:val="nil"/>
              <w:left w:val="nil"/>
              <w:bottom w:val="nil"/>
              <w:right w:val="single" w:sz="8" w:space="0" w:color="auto"/>
            </w:tcBorders>
            <w:shd w:val="clear" w:color="000000" w:fill="FFFFFF"/>
            <w:noWrap/>
            <w:vAlign w:val="center"/>
            <w:hideMark/>
          </w:tcPr>
          <w:p w14:paraId="69A838E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r>
      <w:tr w:rsidR="00A92936" w:rsidRPr="00A92936" w14:paraId="7FD80458"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1DED2573"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2DC2668C"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819" w:type="dxa"/>
            <w:tcBorders>
              <w:top w:val="nil"/>
              <w:left w:val="single" w:sz="8" w:space="0" w:color="auto"/>
              <w:bottom w:val="nil"/>
              <w:right w:val="nil"/>
            </w:tcBorders>
            <w:shd w:val="clear" w:color="000000" w:fill="FFFFFF"/>
            <w:noWrap/>
            <w:vAlign w:val="center"/>
            <w:hideMark/>
          </w:tcPr>
          <w:p w14:paraId="15E4E46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747" w:type="dxa"/>
            <w:tcBorders>
              <w:top w:val="nil"/>
              <w:left w:val="nil"/>
              <w:bottom w:val="nil"/>
              <w:right w:val="nil"/>
            </w:tcBorders>
            <w:shd w:val="clear" w:color="000000" w:fill="FFFFFF"/>
            <w:noWrap/>
            <w:vAlign w:val="center"/>
            <w:hideMark/>
          </w:tcPr>
          <w:p w14:paraId="091BDBBA"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0" w:type="dxa"/>
            <w:tcBorders>
              <w:top w:val="nil"/>
              <w:left w:val="nil"/>
              <w:bottom w:val="nil"/>
              <w:right w:val="nil"/>
            </w:tcBorders>
            <w:shd w:val="clear" w:color="000000" w:fill="FFFFFF"/>
            <w:noWrap/>
            <w:vAlign w:val="center"/>
            <w:hideMark/>
          </w:tcPr>
          <w:p w14:paraId="0CC935E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51" w:type="dxa"/>
            <w:tcBorders>
              <w:top w:val="nil"/>
              <w:left w:val="nil"/>
              <w:bottom w:val="nil"/>
              <w:right w:val="single" w:sz="8" w:space="0" w:color="auto"/>
            </w:tcBorders>
            <w:shd w:val="clear" w:color="000000" w:fill="FFFFFF"/>
            <w:noWrap/>
            <w:vAlign w:val="center"/>
            <w:hideMark/>
          </w:tcPr>
          <w:p w14:paraId="1E25B5C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845" w:type="dxa"/>
            <w:tcBorders>
              <w:top w:val="nil"/>
              <w:left w:val="nil"/>
              <w:bottom w:val="nil"/>
              <w:right w:val="nil"/>
            </w:tcBorders>
            <w:shd w:val="clear" w:color="000000" w:fill="FFFFFF"/>
            <w:noWrap/>
            <w:vAlign w:val="center"/>
            <w:hideMark/>
          </w:tcPr>
          <w:p w14:paraId="27BAC15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744" w:type="dxa"/>
            <w:tcBorders>
              <w:top w:val="nil"/>
              <w:left w:val="nil"/>
              <w:bottom w:val="nil"/>
              <w:right w:val="nil"/>
            </w:tcBorders>
            <w:shd w:val="clear" w:color="000000" w:fill="FFFFFF"/>
            <w:noWrap/>
            <w:vAlign w:val="center"/>
            <w:hideMark/>
          </w:tcPr>
          <w:p w14:paraId="42974B9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50" w:type="dxa"/>
            <w:tcBorders>
              <w:top w:val="nil"/>
              <w:left w:val="nil"/>
              <w:bottom w:val="nil"/>
              <w:right w:val="nil"/>
            </w:tcBorders>
            <w:shd w:val="clear" w:color="000000" w:fill="FFFFFF"/>
            <w:noWrap/>
            <w:vAlign w:val="center"/>
            <w:hideMark/>
          </w:tcPr>
          <w:p w14:paraId="413ADF47"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860" w:type="dxa"/>
            <w:tcBorders>
              <w:top w:val="nil"/>
              <w:left w:val="nil"/>
              <w:bottom w:val="nil"/>
              <w:right w:val="single" w:sz="8" w:space="0" w:color="auto"/>
            </w:tcBorders>
            <w:shd w:val="clear" w:color="000000" w:fill="FFFFFF"/>
            <w:noWrap/>
            <w:vAlign w:val="center"/>
            <w:hideMark/>
          </w:tcPr>
          <w:p w14:paraId="0A948C5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1.8</w:t>
            </w:r>
          </w:p>
        </w:tc>
      </w:tr>
      <w:tr w:rsidR="00A92936" w:rsidRPr="00A92936" w14:paraId="640BF7D3" w14:textId="77777777" w:rsidTr="007C12C3">
        <w:trPr>
          <w:trHeight w:val="465"/>
        </w:trPr>
        <w:tc>
          <w:tcPr>
            <w:tcW w:w="1007" w:type="dxa"/>
            <w:vMerge/>
            <w:tcBorders>
              <w:top w:val="nil"/>
              <w:left w:val="single" w:sz="8" w:space="0" w:color="auto"/>
              <w:bottom w:val="double" w:sz="6" w:space="0" w:color="000000"/>
              <w:right w:val="nil"/>
            </w:tcBorders>
            <w:vAlign w:val="center"/>
            <w:hideMark/>
          </w:tcPr>
          <w:p w14:paraId="1D2BAD04"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double" w:sz="6" w:space="0" w:color="auto"/>
              <w:right w:val="nil"/>
            </w:tcBorders>
            <w:shd w:val="clear" w:color="000000" w:fill="FFFFFF"/>
            <w:vAlign w:val="center"/>
            <w:hideMark/>
          </w:tcPr>
          <w:p w14:paraId="2F992E79"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819" w:type="dxa"/>
            <w:tcBorders>
              <w:top w:val="nil"/>
              <w:left w:val="single" w:sz="8" w:space="0" w:color="auto"/>
              <w:bottom w:val="double" w:sz="6" w:space="0" w:color="auto"/>
              <w:right w:val="nil"/>
            </w:tcBorders>
            <w:shd w:val="clear" w:color="000000" w:fill="FFFFFF"/>
            <w:noWrap/>
            <w:vAlign w:val="center"/>
            <w:hideMark/>
          </w:tcPr>
          <w:p w14:paraId="22989E6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747" w:type="dxa"/>
            <w:tcBorders>
              <w:top w:val="nil"/>
              <w:left w:val="nil"/>
              <w:bottom w:val="double" w:sz="6" w:space="0" w:color="auto"/>
              <w:right w:val="nil"/>
            </w:tcBorders>
            <w:shd w:val="clear" w:color="000000" w:fill="FFFFFF"/>
            <w:noWrap/>
            <w:vAlign w:val="center"/>
            <w:hideMark/>
          </w:tcPr>
          <w:p w14:paraId="54013247"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850" w:type="dxa"/>
            <w:tcBorders>
              <w:top w:val="nil"/>
              <w:left w:val="nil"/>
              <w:bottom w:val="double" w:sz="6" w:space="0" w:color="auto"/>
              <w:right w:val="nil"/>
            </w:tcBorders>
            <w:shd w:val="clear" w:color="000000" w:fill="FFFFFF"/>
            <w:noWrap/>
            <w:vAlign w:val="center"/>
            <w:hideMark/>
          </w:tcPr>
          <w:p w14:paraId="4CF2A05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1" w:type="dxa"/>
            <w:tcBorders>
              <w:top w:val="nil"/>
              <w:left w:val="nil"/>
              <w:bottom w:val="double" w:sz="6" w:space="0" w:color="auto"/>
              <w:right w:val="single" w:sz="8" w:space="0" w:color="auto"/>
            </w:tcBorders>
            <w:shd w:val="clear" w:color="000000" w:fill="FFFFFF"/>
            <w:noWrap/>
            <w:vAlign w:val="center"/>
            <w:hideMark/>
          </w:tcPr>
          <w:p w14:paraId="12FEF012"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845" w:type="dxa"/>
            <w:tcBorders>
              <w:top w:val="nil"/>
              <w:left w:val="nil"/>
              <w:bottom w:val="double" w:sz="6" w:space="0" w:color="auto"/>
              <w:right w:val="nil"/>
            </w:tcBorders>
            <w:shd w:val="clear" w:color="000000" w:fill="FFFFFF"/>
            <w:noWrap/>
            <w:vAlign w:val="center"/>
            <w:hideMark/>
          </w:tcPr>
          <w:p w14:paraId="594CA5A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744" w:type="dxa"/>
            <w:tcBorders>
              <w:top w:val="nil"/>
              <w:left w:val="nil"/>
              <w:bottom w:val="double" w:sz="6" w:space="0" w:color="auto"/>
              <w:right w:val="nil"/>
            </w:tcBorders>
            <w:shd w:val="clear" w:color="000000" w:fill="FFFFFF"/>
            <w:noWrap/>
            <w:vAlign w:val="center"/>
            <w:hideMark/>
          </w:tcPr>
          <w:p w14:paraId="6C7CAE1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850" w:type="dxa"/>
            <w:tcBorders>
              <w:top w:val="nil"/>
              <w:left w:val="nil"/>
              <w:bottom w:val="double" w:sz="6" w:space="0" w:color="auto"/>
              <w:right w:val="nil"/>
            </w:tcBorders>
            <w:shd w:val="clear" w:color="000000" w:fill="FFFFFF"/>
            <w:noWrap/>
            <w:vAlign w:val="center"/>
            <w:hideMark/>
          </w:tcPr>
          <w:p w14:paraId="062FBD2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860" w:type="dxa"/>
            <w:tcBorders>
              <w:top w:val="nil"/>
              <w:left w:val="nil"/>
              <w:bottom w:val="double" w:sz="6" w:space="0" w:color="auto"/>
              <w:right w:val="single" w:sz="8" w:space="0" w:color="auto"/>
            </w:tcBorders>
            <w:shd w:val="clear" w:color="000000" w:fill="FFFFFF"/>
            <w:noWrap/>
            <w:vAlign w:val="center"/>
            <w:hideMark/>
          </w:tcPr>
          <w:p w14:paraId="7078C43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r>
      <w:tr w:rsidR="00A92936" w:rsidRPr="00A92936" w14:paraId="26597BEE" w14:textId="77777777" w:rsidTr="007C12C3">
        <w:trPr>
          <w:trHeight w:val="270"/>
        </w:trPr>
        <w:tc>
          <w:tcPr>
            <w:tcW w:w="1007" w:type="dxa"/>
            <w:vMerge w:val="restart"/>
            <w:tcBorders>
              <w:top w:val="nil"/>
              <w:left w:val="single" w:sz="8" w:space="0" w:color="auto"/>
              <w:bottom w:val="double" w:sz="6" w:space="0" w:color="000000"/>
              <w:right w:val="nil"/>
            </w:tcBorders>
            <w:shd w:val="clear" w:color="000000" w:fill="FFFFFF"/>
            <w:vAlign w:val="center"/>
            <w:hideMark/>
          </w:tcPr>
          <w:p w14:paraId="3A2F3A16"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jóvenes de 18 a 22 años</w:t>
            </w:r>
          </w:p>
        </w:tc>
        <w:tc>
          <w:tcPr>
            <w:tcW w:w="1245" w:type="dxa"/>
            <w:tcBorders>
              <w:top w:val="nil"/>
              <w:left w:val="nil"/>
              <w:bottom w:val="nil"/>
              <w:right w:val="nil"/>
            </w:tcBorders>
            <w:shd w:val="clear" w:color="000000" w:fill="FFFFFF"/>
            <w:vAlign w:val="center"/>
            <w:hideMark/>
          </w:tcPr>
          <w:p w14:paraId="40D42F11"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819" w:type="dxa"/>
            <w:tcBorders>
              <w:top w:val="nil"/>
              <w:left w:val="single" w:sz="8" w:space="0" w:color="auto"/>
              <w:bottom w:val="nil"/>
              <w:right w:val="nil"/>
            </w:tcBorders>
            <w:shd w:val="clear" w:color="000000" w:fill="FFFFFF"/>
            <w:noWrap/>
            <w:vAlign w:val="center"/>
            <w:hideMark/>
          </w:tcPr>
          <w:p w14:paraId="271E672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747" w:type="dxa"/>
            <w:tcBorders>
              <w:top w:val="nil"/>
              <w:left w:val="nil"/>
              <w:bottom w:val="nil"/>
              <w:right w:val="nil"/>
            </w:tcBorders>
            <w:shd w:val="clear" w:color="000000" w:fill="FFFFFF"/>
            <w:noWrap/>
            <w:vAlign w:val="center"/>
            <w:hideMark/>
          </w:tcPr>
          <w:p w14:paraId="54693EE7"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0" w:type="dxa"/>
            <w:tcBorders>
              <w:top w:val="nil"/>
              <w:left w:val="nil"/>
              <w:bottom w:val="nil"/>
              <w:right w:val="nil"/>
            </w:tcBorders>
            <w:shd w:val="clear" w:color="000000" w:fill="FFFFFF"/>
            <w:noWrap/>
            <w:vAlign w:val="center"/>
            <w:hideMark/>
          </w:tcPr>
          <w:p w14:paraId="649F130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51" w:type="dxa"/>
            <w:tcBorders>
              <w:top w:val="nil"/>
              <w:left w:val="nil"/>
              <w:bottom w:val="nil"/>
              <w:right w:val="single" w:sz="8" w:space="0" w:color="auto"/>
            </w:tcBorders>
            <w:shd w:val="clear" w:color="000000" w:fill="FFFFFF"/>
            <w:noWrap/>
            <w:vAlign w:val="center"/>
            <w:hideMark/>
          </w:tcPr>
          <w:p w14:paraId="45AA286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45" w:type="dxa"/>
            <w:tcBorders>
              <w:top w:val="nil"/>
              <w:left w:val="nil"/>
              <w:bottom w:val="nil"/>
              <w:right w:val="nil"/>
            </w:tcBorders>
            <w:shd w:val="clear" w:color="000000" w:fill="FFFFFF"/>
            <w:noWrap/>
            <w:vAlign w:val="center"/>
            <w:hideMark/>
          </w:tcPr>
          <w:p w14:paraId="2BDD7D2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44" w:type="dxa"/>
            <w:tcBorders>
              <w:top w:val="nil"/>
              <w:left w:val="nil"/>
              <w:bottom w:val="nil"/>
              <w:right w:val="nil"/>
            </w:tcBorders>
            <w:shd w:val="clear" w:color="000000" w:fill="FFFFFF"/>
            <w:noWrap/>
            <w:vAlign w:val="center"/>
            <w:hideMark/>
          </w:tcPr>
          <w:p w14:paraId="6B16B9F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850" w:type="dxa"/>
            <w:tcBorders>
              <w:top w:val="nil"/>
              <w:left w:val="nil"/>
              <w:bottom w:val="nil"/>
              <w:right w:val="nil"/>
            </w:tcBorders>
            <w:shd w:val="clear" w:color="000000" w:fill="FFFFFF"/>
            <w:noWrap/>
            <w:vAlign w:val="center"/>
            <w:hideMark/>
          </w:tcPr>
          <w:p w14:paraId="61E974E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60" w:type="dxa"/>
            <w:tcBorders>
              <w:top w:val="nil"/>
              <w:left w:val="nil"/>
              <w:bottom w:val="nil"/>
              <w:right w:val="single" w:sz="8" w:space="0" w:color="auto"/>
            </w:tcBorders>
            <w:shd w:val="clear" w:color="000000" w:fill="FFFFFF"/>
            <w:noWrap/>
            <w:vAlign w:val="center"/>
            <w:hideMark/>
          </w:tcPr>
          <w:p w14:paraId="5435931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r>
      <w:tr w:rsidR="00A92936" w:rsidRPr="00A92936" w14:paraId="654BD90D"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51F41C5F"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1CF14A38"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819" w:type="dxa"/>
            <w:tcBorders>
              <w:top w:val="nil"/>
              <w:left w:val="single" w:sz="8" w:space="0" w:color="auto"/>
              <w:bottom w:val="nil"/>
              <w:right w:val="nil"/>
            </w:tcBorders>
            <w:shd w:val="clear" w:color="000000" w:fill="FFFFFF"/>
            <w:noWrap/>
            <w:vAlign w:val="center"/>
            <w:hideMark/>
          </w:tcPr>
          <w:p w14:paraId="6FB91AC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747" w:type="dxa"/>
            <w:tcBorders>
              <w:top w:val="nil"/>
              <w:left w:val="nil"/>
              <w:bottom w:val="nil"/>
              <w:right w:val="nil"/>
            </w:tcBorders>
            <w:shd w:val="clear" w:color="000000" w:fill="FFFFFF"/>
            <w:noWrap/>
            <w:vAlign w:val="center"/>
            <w:hideMark/>
          </w:tcPr>
          <w:p w14:paraId="2B45860F"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850" w:type="dxa"/>
            <w:tcBorders>
              <w:top w:val="nil"/>
              <w:left w:val="nil"/>
              <w:bottom w:val="nil"/>
              <w:right w:val="nil"/>
            </w:tcBorders>
            <w:shd w:val="clear" w:color="000000" w:fill="FFFFFF"/>
            <w:noWrap/>
            <w:vAlign w:val="center"/>
            <w:hideMark/>
          </w:tcPr>
          <w:p w14:paraId="2534BCC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851" w:type="dxa"/>
            <w:tcBorders>
              <w:top w:val="nil"/>
              <w:left w:val="nil"/>
              <w:bottom w:val="nil"/>
              <w:right w:val="single" w:sz="8" w:space="0" w:color="auto"/>
            </w:tcBorders>
            <w:shd w:val="clear" w:color="000000" w:fill="FFFFFF"/>
            <w:noWrap/>
            <w:vAlign w:val="center"/>
            <w:hideMark/>
          </w:tcPr>
          <w:p w14:paraId="733BC5A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845" w:type="dxa"/>
            <w:tcBorders>
              <w:top w:val="nil"/>
              <w:left w:val="nil"/>
              <w:bottom w:val="nil"/>
              <w:right w:val="nil"/>
            </w:tcBorders>
            <w:shd w:val="clear" w:color="000000" w:fill="FFFFFF"/>
            <w:noWrap/>
            <w:vAlign w:val="center"/>
            <w:hideMark/>
          </w:tcPr>
          <w:p w14:paraId="571ABF4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744" w:type="dxa"/>
            <w:tcBorders>
              <w:top w:val="nil"/>
              <w:left w:val="nil"/>
              <w:bottom w:val="nil"/>
              <w:right w:val="nil"/>
            </w:tcBorders>
            <w:shd w:val="clear" w:color="000000" w:fill="FFFFFF"/>
            <w:noWrap/>
            <w:vAlign w:val="center"/>
            <w:hideMark/>
          </w:tcPr>
          <w:p w14:paraId="382913B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0" w:type="dxa"/>
            <w:tcBorders>
              <w:top w:val="nil"/>
              <w:left w:val="nil"/>
              <w:bottom w:val="nil"/>
              <w:right w:val="nil"/>
            </w:tcBorders>
            <w:shd w:val="clear" w:color="000000" w:fill="FFFFFF"/>
            <w:noWrap/>
            <w:vAlign w:val="center"/>
            <w:hideMark/>
          </w:tcPr>
          <w:p w14:paraId="1AE6E05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60" w:type="dxa"/>
            <w:tcBorders>
              <w:top w:val="nil"/>
              <w:left w:val="nil"/>
              <w:bottom w:val="nil"/>
              <w:right w:val="single" w:sz="8" w:space="0" w:color="auto"/>
            </w:tcBorders>
            <w:shd w:val="clear" w:color="000000" w:fill="FFFFFF"/>
            <w:noWrap/>
            <w:vAlign w:val="center"/>
            <w:hideMark/>
          </w:tcPr>
          <w:p w14:paraId="26389F81"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r>
      <w:tr w:rsidR="00A92936" w:rsidRPr="00A92936" w14:paraId="75B21CFB"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29D2A29D"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10B5212D"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819" w:type="dxa"/>
            <w:tcBorders>
              <w:top w:val="nil"/>
              <w:left w:val="single" w:sz="8" w:space="0" w:color="auto"/>
              <w:bottom w:val="nil"/>
              <w:right w:val="nil"/>
            </w:tcBorders>
            <w:shd w:val="clear" w:color="000000" w:fill="FFFFFF"/>
            <w:noWrap/>
            <w:vAlign w:val="center"/>
            <w:hideMark/>
          </w:tcPr>
          <w:p w14:paraId="0FC6816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747" w:type="dxa"/>
            <w:tcBorders>
              <w:top w:val="nil"/>
              <w:left w:val="nil"/>
              <w:bottom w:val="nil"/>
              <w:right w:val="nil"/>
            </w:tcBorders>
            <w:shd w:val="clear" w:color="000000" w:fill="FFFFFF"/>
            <w:noWrap/>
            <w:vAlign w:val="center"/>
            <w:hideMark/>
          </w:tcPr>
          <w:p w14:paraId="4D5F464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50" w:type="dxa"/>
            <w:tcBorders>
              <w:top w:val="nil"/>
              <w:left w:val="nil"/>
              <w:bottom w:val="nil"/>
              <w:right w:val="nil"/>
            </w:tcBorders>
            <w:shd w:val="clear" w:color="000000" w:fill="FFFFFF"/>
            <w:noWrap/>
            <w:vAlign w:val="center"/>
            <w:hideMark/>
          </w:tcPr>
          <w:p w14:paraId="5B16EC6D"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851" w:type="dxa"/>
            <w:tcBorders>
              <w:top w:val="nil"/>
              <w:left w:val="nil"/>
              <w:bottom w:val="nil"/>
              <w:right w:val="single" w:sz="8" w:space="0" w:color="auto"/>
            </w:tcBorders>
            <w:shd w:val="clear" w:color="000000" w:fill="FFFFFF"/>
            <w:noWrap/>
            <w:vAlign w:val="center"/>
            <w:hideMark/>
          </w:tcPr>
          <w:p w14:paraId="1978F00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45" w:type="dxa"/>
            <w:tcBorders>
              <w:top w:val="nil"/>
              <w:left w:val="nil"/>
              <w:bottom w:val="nil"/>
              <w:right w:val="nil"/>
            </w:tcBorders>
            <w:shd w:val="clear" w:color="000000" w:fill="FFFFFF"/>
            <w:noWrap/>
            <w:vAlign w:val="center"/>
            <w:hideMark/>
          </w:tcPr>
          <w:p w14:paraId="4F9C517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4" w:type="dxa"/>
            <w:tcBorders>
              <w:top w:val="nil"/>
              <w:left w:val="nil"/>
              <w:bottom w:val="nil"/>
              <w:right w:val="nil"/>
            </w:tcBorders>
            <w:shd w:val="clear" w:color="000000" w:fill="FFFFFF"/>
            <w:noWrap/>
            <w:vAlign w:val="center"/>
            <w:hideMark/>
          </w:tcPr>
          <w:p w14:paraId="3AEE532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0" w:type="dxa"/>
            <w:tcBorders>
              <w:top w:val="nil"/>
              <w:left w:val="nil"/>
              <w:bottom w:val="nil"/>
              <w:right w:val="nil"/>
            </w:tcBorders>
            <w:shd w:val="clear" w:color="000000" w:fill="FFFFFF"/>
            <w:noWrap/>
            <w:vAlign w:val="center"/>
            <w:hideMark/>
          </w:tcPr>
          <w:p w14:paraId="63F8712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860" w:type="dxa"/>
            <w:tcBorders>
              <w:top w:val="nil"/>
              <w:left w:val="nil"/>
              <w:bottom w:val="nil"/>
              <w:right w:val="single" w:sz="8" w:space="0" w:color="auto"/>
            </w:tcBorders>
            <w:shd w:val="clear" w:color="000000" w:fill="FFFFFF"/>
            <w:noWrap/>
            <w:vAlign w:val="center"/>
            <w:hideMark/>
          </w:tcPr>
          <w:p w14:paraId="4D19E6A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r>
      <w:tr w:rsidR="00A92936" w:rsidRPr="00A92936" w14:paraId="560251E7" w14:textId="77777777" w:rsidTr="007C12C3">
        <w:trPr>
          <w:trHeight w:val="450"/>
        </w:trPr>
        <w:tc>
          <w:tcPr>
            <w:tcW w:w="1007" w:type="dxa"/>
            <w:vMerge/>
            <w:tcBorders>
              <w:top w:val="nil"/>
              <w:left w:val="single" w:sz="8" w:space="0" w:color="auto"/>
              <w:bottom w:val="double" w:sz="6" w:space="0" w:color="000000"/>
              <w:right w:val="nil"/>
            </w:tcBorders>
            <w:vAlign w:val="center"/>
            <w:hideMark/>
          </w:tcPr>
          <w:p w14:paraId="4D0ECF9B"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nil"/>
              <w:right w:val="nil"/>
            </w:tcBorders>
            <w:shd w:val="clear" w:color="000000" w:fill="FFFFFF"/>
            <w:vAlign w:val="center"/>
            <w:hideMark/>
          </w:tcPr>
          <w:p w14:paraId="4C3F420D"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819" w:type="dxa"/>
            <w:tcBorders>
              <w:top w:val="nil"/>
              <w:left w:val="single" w:sz="8" w:space="0" w:color="auto"/>
              <w:bottom w:val="nil"/>
              <w:right w:val="nil"/>
            </w:tcBorders>
            <w:shd w:val="clear" w:color="000000" w:fill="FFFFFF"/>
            <w:noWrap/>
            <w:vAlign w:val="center"/>
            <w:hideMark/>
          </w:tcPr>
          <w:p w14:paraId="31D5D746"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747" w:type="dxa"/>
            <w:tcBorders>
              <w:top w:val="nil"/>
              <w:left w:val="nil"/>
              <w:bottom w:val="nil"/>
              <w:right w:val="nil"/>
            </w:tcBorders>
            <w:shd w:val="clear" w:color="000000" w:fill="FFFFFF"/>
            <w:noWrap/>
            <w:vAlign w:val="center"/>
            <w:hideMark/>
          </w:tcPr>
          <w:p w14:paraId="73B0572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50" w:type="dxa"/>
            <w:tcBorders>
              <w:top w:val="nil"/>
              <w:left w:val="nil"/>
              <w:bottom w:val="nil"/>
              <w:right w:val="nil"/>
            </w:tcBorders>
            <w:shd w:val="clear" w:color="000000" w:fill="FFFFFF"/>
            <w:noWrap/>
            <w:vAlign w:val="center"/>
            <w:hideMark/>
          </w:tcPr>
          <w:p w14:paraId="4F0C018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851" w:type="dxa"/>
            <w:tcBorders>
              <w:top w:val="nil"/>
              <w:left w:val="nil"/>
              <w:bottom w:val="nil"/>
              <w:right w:val="single" w:sz="8" w:space="0" w:color="auto"/>
            </w:tcBorders>
            <w:shd w:val="clear" w:color="000000" w:fill="FFFFFF"/>
            <w:noWrap/>
            <w:vAlign w:val="center"/>
            <w:hideMark/>
          </w:tcPr>
          <w:p w14:paraId="1AA479A2"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45" w:type="dxa"/>
            <w:tcBorders>
              <w:top w:val="nil"/>
              <w:left w:val="nil"/>
              <w:bottom w:val="nil"/>
              <w:right w:val="nil"/>
            </w:tcBorders>
            <w:shd w:val="clear" w:color="000000" w:fill="FFFFFF"/>
            <w:noWrap/>
            <w:vAlign w:val="center"/>
            <w:hideMark/>
          </w:tcPr>
          <w:p w14:paraId="32DAF58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744" w:type="dxa"/>
            <w:tcBorders>
              <w:top w:val="nil"/>
              <w:left w:val="nil"/>
              <w:bottom w:val="nil"/>
              <w:right w:val="nil"/>
            </w:tcBorders>
            <w:shd w:val="clear" w:color="000000" w:fill="FFFFFF"/>
            <w:noWrap/>
            <w:vAlign w:val="center"/>
            <w:hideMark/>
          </w:tcPr>
          <w:p w14:paraId="150AD075"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850" w:type="dxa"/>
            <w:tcBorders>
              <w:top w:val="nil"/>
              <w:left w:val="nil"/>
              <w:bottom w:val="nil"/>
              <w:right w:val="nil"/>
            </w:tcBorders>
            <w:shd w:val="clear" w:color="000000" w:fill="FFFFFF"/>
            <w:noWrap/>
            <w:vAlign w:val="center"/>
            <w:hideMark/>
          </w:tcPr>
          <w:p w14:paraId="5AEBCEC0"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60" w:type="dxa"/>
            <w:tcBorders>
              <w:top w:val="nil"/>
              <w:left w:val="nil"/>
              <w:bottom w:val="nil"/>
              <w:right w:val="single" w:sz="8" w:space="0" w:color="auto"/>
            </w:tcBorders>
            <w:shd w:val="clear" w:color="000000" w:fill="FFFFFF"/>
            <w:noWrap/>
            <w:vAlign w:val="center"/>
            <w:hideMark/>
          </w:tcPr>
          <w:p w14:paraId="2367891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r>
      <w:tr w:rsidR="00A92936" w:rsidRPr="00A92936" w14:paraId="3A45B297" w14:textId="77777777" w:rsidTr="007C12C3">
        <w:trPr>
          <w:trHeight w:val="465"/>
        </w:trPr>
        <w:tc>
          <w:tcPr>
            <w:tcW w:w="1007" w:type="dxa"/>
            <w:vMerge/>
            <w:tcBorders>
              <w:top w:val="nil"/>
              <w:left w:val="single" w:sz="8" w:space="0" w:color="auto"/>
              <w:bottom w:val="double" w:sz="6" w:space="0" w:color="000000"/>
              <w:right w:val="nil"/>
            </w:tcBorders>
            <w:vAlign w:val="center"/>
            <w:hideMark/>
          </w:tcPr>
          <w:p w14:paraId="320CE702" w14:textId="77777777" w:rsidR="00A92936" w:rsidRPr="00A92936" w:rsidRDefault="00A92936" w:rsidP="007C12C3">
            <w:pPr>
              <w:spacing w:after="0" w:line="240" w:lineRule="auto"/>
              <w:jc w:val="center"/>
              <w:rPr>
                <w:rFonts w:ascii="Calibri" w:eastAsia="Times New Roman" w:hAnsi="Calibri" w:cs="Calibri"/>
                <w:b/>
                <w:bCs/>
                <w:sz w:val="16"/>
                <w:szCs w:val="16"/>
                <w:lang w:eastAsia="es-MX"/>
              </w:rPr>
            </w:pPr>
          </w:p>
        </w:tc>
        <w:tc>
          <w:tcPr>
            <w:tcW w:w="1245" w:type="dxa"/>
            <w:tcBorders>
              <w:top w:val="nil"/>
              <w:left w:val="nil"/>
              <w:bottom w:val="double" w:sz="6" w:space="0" w:color="auto"/>
              <w:right w:val="nil"/>
            </w:tcBorders>
            <w:shd w:val="clear" w:color="000000" w:fill="FFFFFF"/>
            <w:vAlign w:val="center"/>
            <w:hideMark/>
          </w:tcPr>
          <w:p w14:paraId="3406F445" w14:textId="77777777" w:rsidR="00A92936" w:rsidRPr="00A92936" w:rsidRDefault="00A92936" w:rsidP="007C12C3">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819" w:type="dxa"/>
            <w:tcBorders>
              <w:top w:val="nil"/>
              <w:left w:val="single" w:sz="8" w:space="0" w:color="auto"/>
              <w:bottom w:val="double" w:sz="6" w:space="0" w:color="auto"/>
              <w:right w:val="nil"/>
            </w:tcBorders>
            <w:shd w:val="clear" w:color="000000" w:fill="FFFFFF"/>
            <w:noWrap/>
            <w:vAlign w:val="center"/>
            <w:hideMark/>
          </w:tcPr>
          <w:p w14:paraId="09D5CBE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747" w:type="dxa"/>
            <w:tcBorders>
              <w:top w:val="nil"/>
              <w:left w:val="nil"/>
              <w:bottom w:val="double" w:sz="6" w:space="0" w:color="auto"/>
              <w:right w:val="nil"/>
            </w:tcBorders>
            <w:shd w:val="clear" w:color="000000" w:fill="FFFFFF"/>
            <w:noWrap/>
            <w:vAlign w:val="center"/>
            <w:hideMark/>
          </w:tcPr>
          <w:p w14:paraId="69FCA978"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0" w:type="dxa"/>
            <w:tcBorders>
              <w:top w:val="nil"/>
              <w:left w:val="nil"/>
              <w:bottom w:val="double" w:sz="6" w:space="0" w:color="auto"/>
              <w:right w:val="nil"/>
            </w:tcBorders>
            <w:shd w:val="clear" w:color="000000" w:fill="FFFFFF"/>
            <w:noWrap/>
            <w:vAlign w:val="center"/>
            <w:hideMark/>
          </w:tcPr>
          <w:p w14:paraId="1CFE5C27"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1" w:type="dxa"/>
            <w:tcBorders>
              <w:top w:val="nil"/>
              <w:left w:val="nil"/>
              <w:bottom w:val="double" w:sz="6" w:space="0" w:color="auto"/>
              <w:right w:val="single" w:sz="8" w:space="0" w:color="auto"/>
            </w:tcBorders>
            <w:shd w:val="clear" w:color="000000" w:fill="FFFFFF"/>
            <w:noWrap/>
            <w:vAlign w:val="center"/>
            <w:hideMark/>
          </w:tcPr>
          <w:p w14:paraId="65220BCC"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45" w:type="dxa"/>
            <w:tcBorders>
              <w:top w:val="nil"/>
              <w:left w:val="nil"/>
              <w:bottom w:val="double" w:sz="6" w:space="0" w:color="auto"/>
              <w:right w:val="nil"/>
            </w:tcBorders>
            <w:shd w:val="clear" w:color="000000" w:fill="FFFFFF"/>
            <w:noWrap/>
            <w:vAlign w:val="center"/>
            <w:hideMark/>
          </w:tcPr>
          <w:p w14:paraId="662B83D3"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44" w:type="dxa"/>
            <w:tcBorders>
              <w:top w:val="nil"/>
              <w:left w:val="nil"/>
              <w:bottom w:val="double" w:sz="6" w:space="0" w:color="auto"/>
              <w:right w:val="nil"/>
            </w:tcBorders>
            <w:shd w:val="clear" w:color="000000" w:fill="FFFFFF"/>
            <w:noWrap/>
            <w:vAlign w:val="center"/>
            <w:hideMark/>
          </w:tcPr>
          <w:p w14:paraId="2E6D1304"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50" w:type="dxa"/>
            <w:tcBorders>
              <w:top w:val="nil"/>
              <w:left w:val="nil"/>
              <w:bottom w:val="double" w:sz="6" w:space="0" w:color="auto"/>
              <w:right w:val="nil"/>
            </w:tcBorders>
            <w:shd w:val="clear" w:color="000000" w:fill="FFFFFF"/>
            <w:noWrap/>
            <w:vAlign w:val="center"/>
            <w:hideMark/>
          </w:tcPr>
          <w:p w14:paraId="297F405E"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60" w:type="dxa"/>
            <w:tcBorders>
              <w:top w:val="nil"/>
              <w:left w:val="nil"/>
              <w:bottom w:val="double" w:sz="6" w:space="0" w:color="auto"/>
              <w:right w:val="single" w:sz="8" w:space="0" w:color="auto"/>
            </w:tcBorders>
            <w:shd w:val="clear" w:color="000000" w:fill="FFFFFF"/>
            <w:noWrap/>
            <w:vAlign w:val="center"/>
            <w:hideMark/>
          </w:tcPr>
          <w:p w14:paraId="11D52DAB"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r>
      <w:tr w:rsidR="00A92936" w:rsidRPr="00A92936" w14:paraId="058B1422" w14:textId="77777777" w:rsidTr="007C12C3">
        <w:trPr>
          <w:trHeight w:val="270"/>
        </w:trPr>
        <w:tc>
          <w:tcPr>
            <w:tcW w:w="7108" w:type="dxa"/>
            <w:gridSpan w:val="8"/>
            <w:tcBorders>
              <w:top w:val="nil"/>
              <w:left w:val="nil"/>
              <w:bottom w:val="nil"/>
              <w:right w:val="nil"/>
            </w:tcBorders>
            <w:shd w:val="clear" w:color="000000" w:fill="FFFFFF"/>
            <w:noWrap/>
            <w:vAlign w:val="bottom"/>
            <w:hideMark/>
          </w:tcPr>
          <w:p w14:paraId="1EE130E9" w14:textId="77777777" w:rsidR="00A92936" w:rsidRPr="00A92936" w:rsidRDefault="00A92936" w:rsidP="007C12C3">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Fuente: Elaboración propia a partir de los microdatos de los Censos de Población y Vivienda de 2000, 2010 y Encuesta Intercensal 2015</w:t>
            </w:r>
          </w:p>
        </w:tc>
        <w:tc>
          <w:tcPr>
            <w:tcW w:w="850" w:type="dxa"/>
            <w:tcBorders>
              <w:top w:val="nil"/>
              <w:left w:val="nil"/>
              <w:bottom w:val="nil"/>
              <w:right w:val="nil"/>
            </w:tcBorders>
            <w:shd w:val="clear" w:color="000000" w:fill="FFFFFF"/>
            <w:noWrap/>
            <w:vAlign w:val="bottom"/>
            <w:hideMark/>
          </w:tcPr>
          <w:p w14:paraId="401E1D42" w14:textId="5BDB55FA" w:rsidR="00A92936" w:rsidRPr="00A92936" w:rsidRDefault="00A92936" w:rsidP="007C12C3">
            <w:pPr>
              <w:spacing w:after="0" w:line="240" w:lineRule="auto"/>
              <w:jc w:val="center"/>
              <w:rPr>
                <w:rFonts w:ascii="Calibri" w:eastAsia="Times New Roman" w:hAnsi="Calibri" w:cs="Calibri"/>
                <w:sz w:val="16"/>
                <w:szCs w:val="16"/>
                <w:lang w:eastAsia="es-MX"/>
              </w:rPr>
            </w:pPr>
          </w:p>
        </w:tc>
        <w:tc>
          <w:tcPr>
            <w:tcW w:w="860" w:type="dxa"/>
            <w:tcBorders>
              <w:top w:val="nil"/>
              <w:left w:val="nil"/>
              <w:bottom w:val="nil"/>
              <w:right w:val="nil"/>
            </w:tcBorders>
            <w:shd w:val="clear" w:color="000000" w:fill="FFFFFF"/>
            <w:noWrap/>
            <w:vAlign w:val="bottom"/>
            <w:hideMark/>
          </w:tcPr>
          <w:p w14:paraId="5E5532CF" w14:textId="087E2FCA" w:rsidR="00A92936" w:rsidRPr="00A92936" w:rsidRDefault="00A92936" w:rsidP="007C12C3">
            <w:pPr>
              <w:spacing w:after="0" w:line="240" w:lineRule="auto"/>
              <w:jc w:val="center"/>
              <w:rPr>
                <w:rFonts w:ascii="Calibri" w:eastAsia="Times New Roman" w:hAnsi="Calibri" w:cs="Calibri"/>
                <w:sz w:val="16"/>
                <w:szCs w:val="16"/>
                <w:lang w:eastAsia="es-MX"/>
              </w:rPr>
            </w:pPr>
          </w:p>
        </w:tc>
      </w:tr>
    </w:tbl>
    <w:p w14:paraId="1FE60E40" w14:textId="50C3A17B" w:rsidR="009C2AD7" w:rsidRDefault="00E921A2" w:rsidP="007C0185">
      <w:pPr>
        <w:spacing w:before="240" w:after="24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Al considerar los bienes culturales que pueden apoyar procesos educativos, encontramos que los retornados cuentan con mayor número de bienes culturales, que </w:t>
      </w:r>
      <w:r w:rsidR="00C538E0">
        <w:rPr>
          <w:rFonts w:ascii="Times New Roman" w:eastAsia="Times New Roman" w:hAnsi="Times New Roman" w:cs="Times New Roman"/>
          <w:sz w:val="24"/>
          <w:szCs w:val="24"/>
          <w:lang w:eastAsia="es-MX"/>
        </w:rPr>
        <w:t>los hogares jefaturados por no migrantes</w:t>
      </w:r>
      <w:r w:rsidR="007C0185">
        <w:rPr>
          <w:rFonts w:ascii="Times New Roman" w:eastAsia="Times New Roman" w:hAnsi="Times New Roman" w:cs="Times New Roman"/>
          <w:sz w:val="24"/>
          <w:szCs w:val="24"/>
          <w:lang w:eastAsia="es-MX"/>
        </w:rPr>
        <w:t xml:space="preserve"> (ver tabla 5)</w:t>
      </w:r>
      <w:r w:rsidR="00C538E0">
        <w:rPr>
          <w:rFonts w:ascii="Times New Roman" w:eastAsia="Times New Roman" w:hAnsi="Times New Roman" w:cs="Times New Roman"/>
          <w:sz w:val="24"/>
          <w:szCs w:val="24"/>
          <w:lang w:eastAsia="es-MX"/>
        </w:rPr>
        <w:t xml:space="preserve">. El capital cultural </w:t>
      </w:r>
      <w:r w:rsidR="00891DA1">
        <w:rPr>
          <w:rFonts w:ascii="Times New Roman" w:eastAsia="Times New Roman" w:hAnsi="Times New Roman" w:cs="Times New Roman"/>
          <w:sz w:val="24"/>
          <w:szCs w:val="24"/>
          <w:lang w:eastAsia="es-MX"/>
        </w:rPr>
        <w:t xml:space="preserve">influye de manera importante para que los hijos de jefes </w:t>
      </w:r>
      <w:r w:rsidR="00483A39">
        <w:rPr>
          <w:rFonts w:ascii="Times New Roman" w:eastAsia="Times New Roman" w:hAnsi="Times New Roman" w:cs="Times New Roman"/>
          <w:sz w:val="24"/>
          <w:szCs w:val="24"/>
          <w:lang w:eastAsia="es-MX"/>
        </w:rPr>
        <w:t>retornados</w:t>
      </w:r>
      <w:r w:rsidR="00891DA1">
        <w:rPr>
          <w:rFonts w:ascii="Times New Roman" w:eastAsia="Times New Roman" w:hAnsi="Times New Roman" w:cs="Times New Roman"/>
          <w:sz w:val="24"/>
          <w:szCs w:val="24"/>
          <w:lang w:eastAsia="es-MX"/>
        </w:rPr>
        <w:t xml:space="preserve"> asistan a la escuela. Así, si bien cuentan con menos </w:t>
      </w:r>
      <w:r w:rsidR="00BA4512">
        <w:rPr>
          <w:rFonts w:ascii="Times New Roman" w:eastAsia="Times New Roman" w:hAnsi="Times New Roman" w:cs="Times New Roman"/>
          <w:sz w:val="24"/>
          <w:szCs w:val="24"/>
          <w:lang w:eastAsia="es-MX"/>
        </w:rPr>
        <w:t xml:space="preserve">capital social, lo compensan con bienes culturales materiales para generar los procesos de </w:t>
      </w:r>
      <w:r w:rsidR="007C0185">
        <w:rPr>
          <w:rFonts w:ascii="Times New Roman" w:eastAsia="Times New Roman" w:hAnsi="Times New Roman" w:cs="Times New Roman"/>
          <w:sz w:val="24"/>
          <w:szCs w:val="24"/>
          <w:lang w:eastAsia="es-MX"/>
        </w:rPr>
        <w:t>escolarización, y probablemente generen un estímulo para asistir a la escuela.</w:t>
      </w:r>
    </w:p>
    <w:tbl>
      <w:tblPr>
        <w:tblW w:w="8814" w:type="dxa"/>
        <w:jc w:val="center"/>
        <w:tblCellMar>
          <w:left w:w="70" w:type="dxa"/>
          <w:right w:w="70" w:type="dxa"/>
        </w:tblCellMar>
        <w:tblLook w:val="04A0" w:firstRow="1" w:lastRow="0" w:firstColumn="1" w:lastColumn="0" w:noHBand="0" w:noVBand="1"/>
      </w:tblPr>
      <w:tblGrid>
        <w:gridCol w:w="1008"/>
        <w:gridCol w:w="1244"/>
        <w:gridCol w:w="819"/>
        <w:gridCol w:w="747"/>
        <w:gridCol w:w="850"/>
        <w:gridCol w:w="851"/>
        <w:gridCol w:w="850"/>
        <w:gridCol w:w="744"/>
        <w:gridCol w:w="850"/>
        <w:gridCol w:w="851"/>
      </w:tblGrid>
      <w:tr w:rsidR="00A92936" w:rsidRPr="00A92936" w14:paraId="35DC89B4" w14:textId="77777777" w:rsidTr="00AD40BF">
        <w:trPr>
          <w:trHeight w:val="587"/>
          <w:jc w:val="center"/>
        </w:trPr>
        <w:tc>
          <w:tcPr>
            <w:tcW w:w="8814" w:type="dxa"/>
            <w:gridSpan w:val="10"/>
            <w:tcBorders>
              <w:top w:val="single" w:sz="8" w:space="0" w:color="auto"/>
              <w:left w:val="single" w:sz="8" w:space="0" w:color="auto"/>
              <w:bottom w:val="double" w:sz="6" w:space="0" w:color="auto"/>
              <w:right w:val="single" w:sz="8" w:space="0" w:color="000000"/>
            </w:tcBorders>
            <w:shd w:val="clear" w:color="000000" w:fill="FFFFFF"/>
            <w:vAlign w:val="center"/>
            <w:hideMark/>
          </w:tcPr>
          <w:p w14:paraId="1B30AFFF" w14:textId="77777777" w:rsidR="00A92936" w:rsidRPr="00AD40BF" w:rsidRDefault="00A92936" w:rsidP="00A92936">
            <w:pPr>
              <w:spacing w:after="0" w:line="240" w:lineRule="auto"/>
              <w:jc w:val="center"/>
              <w:rPr>
                <w:rFonts w:ascii="Calibri" w:eastAsia="Times New Roman" w:hAnsi="Calibri" w:cs="Calibri"/>
                <w:b/>
                <w:bCs/>
                <w:sz w:val="24"/>
                <w:szCs w:val="24"/>
                <w:lang w:eastAsia="es-MX"/>
              </w:rPr>
            </w:pPr>
            <w:r w:rsidRPr="00AD40BF">
              <w:rPr>
                <w:rFonts w:ascii="Calibri" w:eastAsia="Times New Roman" w:hAnsi="Calibri" w:cs="Calibri"/>
                <w:b/>
                <w:bCs/>
                <w:sz w:val="24"/>
                <w:szCs w:val="24"/>
                <w:lang w:eastAsia="es-MX"/>
              </w:rPr>
              <w:t>Tabla 5. Medias de capital cultural de hogares según asistencia escolar de hijos por edad, Nacional y tamaños de localidad, México 2000 y 2015</w:t>
            </w:r>
          </w:p>
        </w:tc>
      </w:tr>
      <w:tr w:rsidR="00A92936" w:rsidRPr="00A92936" w14:paraId="102EFD23" w14:textId="77777777" w:rsidTr="007C12C3">
        <w:trPr>
          <w:trHeight w:val="285"/>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689B7D7A"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Tipo de hogar según edad de los hijos</w:t>
            </w:r>
          </w:p>
        </w:tc>
        <w:tc>
          <w:tcPr>
            <w:tcW w:w="1244" w:type="dxa"/>
            <w:vMerge w:val="restart"/>
            <w:tcBorders>
              <w:top w:val="nil"/>
              <w:left w:val="nil"/>
              <w:bottom w:val="double" w:sz="6" w:space="0" w:color="000000"/>
              <w:right w:val="nil"/>
            </w:tcBorders>
            <w:shd w:val="clear" w:color="000000" w:fill="FFFFFF"/>
            <w:vAlign w:val="center"/>
            <w:hideMark/>
          </w:tcPr>
          <w:p w14:paraId="3029AF47"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Tamaño de localidad</w:t>
            </w:r>
          </w:p>
        </w:tc>
        <w:tc>
          <w:tcPr>
            <w:tcW w:w="3267" w:type="dxa"/>
            <w:gridSpan w:val="4"/>
            <w:tcBorders>
              <w:top w:val="double" w:sz="6" w:space="0" w:color="auto"/>
              <w:left w:val="single" w:sz="8" w:space="0" w:color="auto"/>
              <w:bottom w:val="double" w:sz="6" w:space="0" w:color="auto"/>
              <w:right w:val="single" w:sz="8" w:space="0" w:color="000000"/>
            </w:tcBorders>
            <w:shd w:val="clear" w:color="000000" w:fill="FFFFFF"/>
            <w:vAlign w:val="center"/>
            <w:hideMark/>
          </w:tcPr>
          <w:p w14:paraId="4A35F73B"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que no asisten a la escuela</w:t>
            </w:r>
          </w:p>
        </w:tc>
        <w:tc>
          <w:tcPr>
            <w:tcW w:w="3295" w:type="dxa"/>
            <w:gridSpan w:val="4"/>
            <w:tcBorders>
              <w:top w:val="double" w:sz="6" w:space="0" w:color="auto"/>
              <w:left w:val="nil"/>
              <w:bottom w:val="double" w:sz="6" w:space="0" w:color="auto"/>
              <w:right w:val="single" w:sz="8" w:space="0" w:color="000000"/>
            </w:tcBorders>
            <w:shd w:val="clear" w:color="000000" w:fill="FFFFFF"/>
            <w:vAlign w:val="center"/>
            <w:hideMark/>
          </w:tcPr>
          <w:p w14:paraId="135A745E"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que asisten a la escuela</w:t>
            </w:r>
          </w:p>
        </w:tc>
      </w:tr>
      <w:tr w:rsidR="00A92936" w:rsidRPr="00A92936" w14:paraId="4ACADE9D" w14:textId="77777777" w:rsidTr="007C12C3">
        <w:trPr>
          <w:trHeight w:val="285"/>
          <w:jc w:val="center"/>
        </w:trPr>
        <w:tc>
          <w:tcPr>
            <w:tcW w:w="1008" w:type="dxa"/>
            <w:vMerge/>
            <w:tcBorders>
              <w:top w:val="nil"/>
              <w:left w:val="single" w:sz="8" w:space="0" w:color="auto"/>
              <w:bottom w:val="double" w:sz="6" w:space="0" w:color="000000"/>
              <w:right w:val="nil"/>
            </w:tcBorders>
            <w:vAlign w:val="center"/>
            <w:hideMark/>
          </w:tcPr>
          <w:p w14:paraId="75B1EA06"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vMerge/>
            <w:tcBorders>
              <w:top w:val="nil"/>
              <w:left w:val="nil"/>
              <w:bottom w:val="double" w:sz="6" w:space="0" w:color="000000"/>
              <w:right w:val="nil"/>
            </w:tcBorders>
            <w:vAlign w:val="center"/>
            <w:hideMark/>
          </w:tcPr>
          <w:p w14:paraId="456BDEDE"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566" w:type="dxa"/>
            <w:gridSpan w:val="2"/>
            <w:tcBorders>
              <w:top w:val="nil"/>
              <w:left w:val="single" w:sz="8" w:space="0" w:color="auto"/>
              <w:bottom w:val="double" w:sz="6" w:space="0" w:color="auto"/>
              <w:right w:val="nil"/>
            </w:tcBorders>
            <w:shd w:val="clear" w:color="000000" w:fill="FFFFFF"/>
            <w:vAlign w:val="center"/>
            <w:hideMark/>
          </w:tcPr>
          <w:p w14:paraId="5651B9B2"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2000</w:t>
            </w:r>
          </w:p>
        </w:tc>
        <w:tc>
          <w:tcPr>
            <w:tcW w:w="1701" w:type="dxa"/>
            <w:gridSpan w:val="2"/>
            <w:tcBorders>
              <w:top w:val="nil"/>
              <w:left w:val="nil"/>
              <w:bottom w:val="double" w:sz="6" w:space="0" w:color="auto"/>
              <w:right w:val="single" w:sz="8" w:space="0" w:color="000000"/>
            </w:tcBorders>
            <w:shd w:val="clear" w:color="000000" w:fill="FFFFFF"/>
            <w:vAlign w:val="center"/>
            <w:hideMark/>
          </w:tcPr>
          <w:p w14:paraId="184DD3B5"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2015</w:t>
            </w:r>
          </w:p>
        </w:tc>
        <w:tc>
          <w:tcPr>
            <w:tcW w:w="1594" w:type="dxa"/>
            <w:gridSpan w:val="2"/>
            <w:tcBorders>
              <w:top w:val="nil"/>
              <w:left w:val="nil"/>
              <w:bottom w:val="double" w:sz="6" w:space="0" w:color="auto"/>
              <w:right w:val="nil"/>
            </w:tcBorders>
            <w:shd w:val="clear" w:color="000000" w:fill="FFFFFF"/>
            <w:vAlign w:val="center"/>
            <w:hideMark/>
          </w:tcPr>
          <w:p w14:paraId="7CBF8BC2"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2000</w:t>
            </w:r>
          </w:p>
        </w:tc>
        <w:tc>
          <w:tcPr>
            <w:tcW w:w="1701" w:type="dxa"/>
            <w:gridSpan w:val="2"/>
            <w:tcBorders>
              <w:top w:val="nil"/>
              <w:left w:val="nil"/>
              <w:bottom w:val="double" w:sz="6" w:space="0" w:color="auto"/>
              <w:right w:val="single" w:sz="8" w:space="0" w:color="000000"/>
            </w:tcBorders>
            <w:shd w:val="clear" w:color="000000" w:fill="FFFFFF"/>
            <w:vAlign w:val="center"/>
            <w:hideMark/>
          </w:tcPr>
          <w:p w14:paraId="5B619CD8"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2015</w:t>
            </w:r>
          </w:p>
        </w:tc>
      </w:tr>
      <w:tr w:rsidR="007C12C3" w:rsidRPr="00A92936" w14:paraId="676E2178" w14:textId="77777777" w:rsidTr="007C12C3">
        <w:trPr>
          <w:trHeight w:val="795"/>
          <w:jc w:val="center"/>
        </w:trPr>
        <w:tc>
          <w:tcPr>
            <w:tcW w:w="1008" w:type="dxa"/>
            <w:vMerge/>
            <w:tcBorders>
              <w:top w:val="nil"/>
              <w:left w:val="single" w:sz="8" w:space="0" w:color="auto"/>
              <w:bottom w:val="double" w:sz="6" w:space="0" w:color="000000"/>
              <w:right w:val="nil"/>
            </w:tcBorders>
            <w:vAlign w:val="center"/>
            <w:hideMark/>
          </w:tcPr>
          <w:p w14:paraId="63CB0633"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vMerge/>
            <w:tcBorders>
              <w:top w:val="nil"/>
              <w:left w:val="nil"/>
              <w:bottom w:val="double" w:sz="6" w:space="0" w:color="000000"/>
              <w:right w:val="nil"/>
            </w:tcBorders>
            <w:vAlign w:val="center"/>
            <w:hideMark/>
          </w:tcPr>
          <w:p w14:paraId="7EB9B235"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819" w:type="dxa"/>
            <w:tcBorders>
              <w:top w:val="nil"/>
              <w:left w:val="single" w:sz="8" w:space="0" w:color="auto"/>
              <w:bottom w:val="double" w:sz="6" w:space="0" w:color="auto"/>
              <w:right w:val="nil"/>
            </w:tcBorders>
            <w:shd w:val="clear" w:color="000000" w:fill="FFFFFF"/>
            <w:vAlign w:val="center"/>
            <w:hideMark/>
          </w:tcPr>
          <w:p w14:paraId="34F699BC"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747" w:type="dxa"/>
            <w:tcBorders>
              <w:top w:val="nil"/>
              <w:left w:val="nil"/>
              <w:bottom w:val="double" w:sz="6" w:space="0" w:color="auto"/>
              <w:right w:val="nil"/>
            </w:tcBorders>
            <w:shd w:val="clear" w:color="000000" w:fill="FFFFFF"/>
            <w:vAlign w:val="center"/>
            <w:hideMark/>
          </w:tcPr>
          <w:p w14:paraId="73748C26"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50" w:type="dxa"/>
            <w:tcBorders>
              <w:top w:val="nil"/>
              <w:left w:val="nil"/>
              <w:bottom w:val="double" w:sz="6" w:space="0" w:color="auto"/>
              <w:right w:val="nil"/>
            </w:tcBorders>
            <w:shd w:val="clear" w:color="000000" w:fill="FFFFFF"/>
            <w:vAlign w:val="center"/>
            <w:hideMark/>
          </w:tcPr>
          <w:p w14:paraId="59317940"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851" w:type="dxa"/>
            <w:tcBorders>
              <w:top w:val="nil"/>
              <w:left w:val="nil"/>
              <w:bottom w:val="double" w:sz="6" w:space="0" w:color="auto"/>
              <w:right w:val="single" w:sz="8" w:space="0" w:color="auto"/>
            </w:tcBorders>
            <w:shd w:val="clear" w:color="000000" w:fill="FFFFFF"/>
            <w:vAlign w:val="center"/>
            <w:hideMark/>
          </w:tcPr>
          <w:p w14:paraId="5A05785F"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50" w:type="dxa"/>
            <w:tcBorders>
              <w:top w:val="nil"/>
              <w:left w:val="nil"/>
              <w:bottom w:val="double" w:sz="6" w:space="0" w:color="auto"/>
              <w:right w:val="nil"/>
            </w:tcBorders>
            <w:shd w:val="clear" w:color="000000" w:fill="FFFFFF"/>
            <w:vAlign w:val="center"/>
            <w:hideMark/>
          </w:tcPr>
          <w:p w14:paraId="1EE7B279"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744" w:type="dxa"/>
            <w:tcBorders>
              <w:top w:val="nil"/>
              <w:left w:val="nil"/>
              <w:bottom w:val="double" w:sz="6" w:space="0" w:color="auto"/>
              <w:right w:val="nil"/>
            </w:tcBorders>
            <w:shd w:val="clear" w:color="000000" w:fill="FFFFFF"/>
            <w:vAlign w:val="center"/>
            <w:hideMark/>
          </w:tcPr>
          <w:p w14:paraId="39B69D41"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50" w:type="dxa"/>
            <w:tcBorders>
              <w:top w:val="nil"/>
              <w:left w:val="nil"/>
              <w:bottom w:val="double" w:sz="6" w:space="0" w:color="auto"/>
              <w:right w:val="nil"/>
            </w:tcBorders>
            <w:shd w:val="clear" w:color="000000" w:fill="FFFFFF"/>
            <w:vAlign w:val="center"/>
            <w:hideMark/>
          </w:tcPr>
          <w:p w14:paraId="2DBBA387"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851" w:type="dxa"/>
            <w:tcBorders>
              <w:top w:val="nil"/>
              <w:left w:val="nil"/>
              <w:bottom w:val="double" w:sz="6" w:space="0" w:color="auto"/>
              <w:right w:val="single" w:sz="8" w:space="0" w:color="auto"/>
            </w:tcBorders>
            <w:shd w:val="clear" w:color="000000" w:fill="FFFFFF"/>
            <w:vAlign w:val="center"/>
            <w:hideMark/>
          </w:tcPr>
          <w:p w14:paraId="127D2E83"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r>
      <w:tr w:rsidR="007C12C3" w:rsidRPr="00A92936" w14:paraId="2B1E59AC" w14:textId="77777777" w:rsidTr="007C12C3">
        <w:trPr>
          <w:trHeight w:val="270"/>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0706D62F"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de 6 a 11 años</w:t>
            </w:r>
          </w:p>
        </w:tc>
        <w:tc>
          <w:tcPr>
            <w:tcW w:w="1244" w:type="dxa"/>
            <w:tcBorders>
              <w:top w:val="nil"/>
              <w:left w:val="nil"/>
              <w:bottom w:val="nil"/>
              <w:right w:val="nil"/>
            </w:tcBorders>
            <w:shd w:val="clear" w:color="000000" w:fill="FFFFFF"/>
            <w:vAlign w:val="center"/>
            <w:hideMark/>
          </w:tcPr>
          <w:p w14:paraId="2C537788"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819" w:type="dxa"/>
            <w:tcBorders>
              <w:top w:val="nil"/>
              <w:left w:val="single" w:sz="8" w:space="0" w:color="auto"/>
              <w:bottom w:val="nil"/>
              <w:right w:val="nil"/>
            </w:tcBorders>
            <w:shd w:val="clear" w:color="000000" w:fill="FFFFFF"/>
            <w:noWrap/>
            <w:vAlign w:val="center"/>
            <w:hideMark/>
          </w:tcPr>
          <w:p w14:paraId="191D679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4.6</w:t>
            </w:r>
          </w:p>
        </w:tc>
        <w:tc>
          <w:tcPr>
            <w:tcW w:w="747" w:type="dxa"/>
            <w:tcBorders>
              <w:top w:val="nil"/>
              <w:left w:val="nil"/>
              <w:bottom w:val="nil"/>
              <w:right w:val="nil"/>
            </w:tcBorders>
            <w:shd w:val="clear" w:color="000000" w:fill="FFFFFF"/>
            <w:noWrap/>
            <w:vAlign w:val="center"/>
            <w:hideMark/>
          </w:tcPr>
          <w:p w14:paraId="181AB9E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3.3</w:t>
            </w:r>
          </w:p>
        </w:tc>
        <w:tc>
          <w:tcPr>
            <w:tcW w:w="850" w:type="dxa"/>
            <w:tcBorders>
              <w:top w:val="nil"/>
              <w:left w:val="nil"/>
              <w:bottom w:val="nil"/>
              <w:right w:val="nil"/>
            </w:tcBorders>
            <w:shd w:val="clear" w:color="000000" w:fill="FFFFFF"/>
            <w:noWrap/>
            <w:vAlign w:val="center"/>
            <w:hideMark/>
          </w:tcPr>
          <w:p w14:paraId="545AD4C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c>
          <w:tcPr>
            <w:tcW w:w="851" w:type="dxa"/>
            <w:tcBorders>
              <w:top w:val="nil"/>
              <w:left w:val="nil"/>
              <w:bottom w:val="nil"/>
              <w:right w:val="single" w:sz="8" w:space="0" w:color="auto"/>
            </w:tcBorders>
            <w:shd w:val="clear" w:color="000000" w:fill="FFFFFF"/>
            <w:noWrap/>
            <w:vAlign w:val="center"/>
            <w:hideMark/>
          </w:tcPr>
          <w:p w14:paraId="3BA15B1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4.3</w:t>
            </w:r>
          </w:p>
        </w:tc>
        <w:tc>
          <w:tcPr>
            <w:tcW w:w="850" w:type="dxa"/>
            <w:tcBorders>
              <w:top w:val="nil"/>
              <w:left w:val="nil"/>
              <w:bottom w:val="nil"/>
              <w:right w:val="nil"/>
            </w:tcBorders>
            <w:shd w:val="clear" w:color="000000" w:fill="FFFFFF"/>
            <w:noWrap/>
            <w:vAlign w:val="center"/>
            <w:hideMark/>
          </w:tcPr>
          <w:p w14:paraId="38304CC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6.3</w:t>
            </w:r>
          </w:p>
        </w:tc>
        <w:tc>
          <w:tcPr>
            <w:tcW w:w="744" w:type="dxa"/>
            <w:tcBorders>
              <w:top w:val="nil"/>
              <w:left w:val="nil"/>
              <w:bottom w:val="nil"/>
              <w:right w:val="nil"/>
            </w:tcBorders>
            <w:shd w:val="clear" w:color="000000" w:fill="FFFFFF"/>
            <w:noWrap/>
            <w:vAlign w:val="center"/>
            <w:hideMark/>
          </w:tcPr>
          <w:p w14:paraId="2FFF77A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c>
          <w:tcPr>
            <w:tcW w:w="850" w:type="dxa"/>
            <w:tcBorders>
              <w:top w:val="nil"/>
              <w:left w:val="nil"/>
              <w:bottom w:val="nil"/>
              <w:right w:val="nil"/>
            </w:tcBorders>
            <w:shd w:val="clear" w:color="000000" w:fill="FFFFFF"/>
            <w:noWrap/>
            <w:vAlign w:val="center"/>
            <w:hideMark/>
          </w:tcPr>
          <w:p w14:paraId="769EA61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5.8</w:t>
            </w:r>
          </w:p>
        </w:tc>
        <w:tc>
          <w:tcPr>
            <w:tcW w:w="851" w:type="dxa"/>
            <w:tcBorders>
              <w:top w:val="nil"/>
              <w:left w:val="nil"/>
              <w:bottom w:val="nil"/>
              <w:right w:val="single" w:sz="8" w:space="0" w:color="auto"/>
            </w:tcBorders>
            <w:shd w:val="clear" w:color="000000" w:fill="FFFFFF"/>
            <w:noWrap/>
            <w:vAlign w:val="center"/>
            <w:hideMark/>
          </w:tcPr>
          <w:p w14:paraId="3F57ECA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5.4</w:t>
            </w:r>
          </w:p>
        </w:tc>
      </w:tr>
      <w:tr w:rsidR="007C12C3" w:rsidRPr="00A92936" w14:paraId="211AA123"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4662EC42"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5C0E7279"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819" w:type="dxa"/>
            <w:tcBorders>
              <w:top w:val="nil"/>
              <w:left w:val="single" w:sz="8" w:space="0" w:color="auto"/>
              <w:bottom w:val="nil"/>
              <w:right w:val="nil"/>
            </w:tcBorders>
            <w:shd w:val="clear" w:color="000000" w:fill="FFFFFF"/>
            <w:noWrap/>
            <w:vAlign w:val="center"/>
            <w:hideMark/>
          </w:tcPr>
          <w:p w14:paraId="314A654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4.0</w:t>
            </w:r>
          </w:p>
        </w:tc>
        <w:tc>
          <w:tcPr>
            <w:tcW w:w="747" w:type="dxa"/>
            <w:tcBorders>
              <w:top w:val="nil"/>
              <w:left w:val="nil"/>
              <w:bottom w:val="nil"/>
              <w:right w:val="nil"/>
            </w:tcBorders>
            <w:shd w:val="clear" w:color="000000" w:fill="FFFFFF"/>
            <w:noWrap/>
            <w:vAlign w:val="center"/>
            <w:hideMark/>
          </w:tcPr>
          <w:p w14:paraId="0E1BF5B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c>
          <w:tcPr>
            <w:tcW w:w="850" w:type="dxa"/>
            <w:tcBorders>
              <w:top w:val="nil"/>
              <w:left w:val="nil"/>
              <w:bottom w:val="nil"/>
              <w:right w:val="nil"/>
            </w:tcBorders>
            <w:shd w:val="clear" w:color="000000" w:fill="FFFFFF"/>
            <w:noWrap/>
            <w:vAlign w:val="center"/>
            <w:hideMark/>
          </w:tcPr>
          <w:p w14:paraId="61AD30C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3.7</w:t>
            </w:r>
          </w:p>
        </w:tc>
        <w:tc>
          <w:tcPr>
            <w:tcW w:w="851" w:type="dxa"/>
            <w:tcBorders>
              <w:top w:val="nil"/>
              <w:left w:val="nil"/>
              <w:bottom w:val="nil"/>
              <w:right w:val="single" w:sz="8" w:space="0" w:color="auto"/>
            </w:tcBorders>
            <w:shd w:val="clear" w:color="000000" w:fill="FFFFFF"/>
            <w:noWrap/>
            <w:vAlign w:val="center"/>
            <w:hideMark/>
          </w:tcPr>
          <w:p w14:paraId="4C36672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2.7</w:t>
            </w:r>
          </w:p>
        </w:tc>
        <w:tc>
          <w:tcPr>
            <w:tcW w:w="850" w:type="dxa"/>
            <w:tcBorders>
              <w:top w:val="nil"/>
              <w:left w:val="nil"/>
              <w:bottom w:val="nil"/>
              <w:right w:val="nil"/>
            </w:tcBorders>
            <w:shd w:val="clear" w:color="000000" w:fill="FFFFFF"/>
            <w:noWrap/>
            <w:vAlign w:val="center"/>
            <w:hideMark/>
          </w:tcPr>
          <w:p w14:paraId="5E209AA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5.1</w:t>
            </w:r>
          </w:p>
        </w:tc>
        <w:tc>
          <w:tcPr>
            <w:tcW w:w="744" w:type="dxa"/>
            <w:tcBorders>
              <w:top w:val="nil"/>
              <w:left w:val="nil"/>
              <w:bottom w:val="nil"/>
              <w:right w:val="nil"/>
            </w:tcBorders>
            <w:shd w:val="clear" w:color="000000" w:fill="FFFFFF"/>
            <w:noWrap/>
            <w:vAlign w:val="center"/>
            <w:hideMark/>
          </w:tcPr>
          <w:p w14:paraId="23DA2E8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3.3</w:t>
            </w:r>
          </w:p>
        </w:tc>
        <w:tc>
          <w:tcPr>
            <w:tcW w:w="850" w:type="dxa"/>
            <w:tcBorders>
              <w:top w:val="nil"/>
              <w:left w:val="nil"/>
              <w:bottom w:val="nil"/>
              <w:right w:val="nil"/>
            </w:tcBorders>
            <w:shd w:val="clear" w:color="000000" w:fill="FFFFFF"/>
            <w:noWrap/>
            <w:vAlign w:val="center"/>
            <w:hideMark/>
          </w:tcPr>
          <w:p w14:paraId="0437781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4.7</w:t>
            </w:r>
          </w:p>
        </w:tc>
        <w:tc>
          <w:tcPr>
            <w:tcW w:w="851" w:type="dxa"/>
            <w:tcBorders>
              <w:top w:val="nil"/>
              <w:left w:val="nil"/>
              <w:bottom w:val="nil"/>
              <w:right w:val="single" w:sz="8" w:space="0" w:color="auto"/>
            </w:tcBorders>
            <w:shd w:val="clear" w:color="000000" w:fill="FFFFFF"/>
            <w:noWrap/>
            <w:vAlign w:val="center"/>
            <w:hideMark/>
          </w:tcPr>
          <w:p w14:paraId="5F06C0A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3.7</w:t>
            </w:r>
          </w:p>
        </w:tc>
      </w:tr>
      <w:tr w:rsidR="007C12C3" w:rsidRPr="00A92936" w14:paraId="6BC9BBC8"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15A491F6"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65804077"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819" w:type="dxa"/>
            <w:tcBorders>
              <w:top w:val="nil"/>
              <w:left w:val="single" w:sz="8" w:space="0" w:color="auto"/>
              <w:bottom w:val="nil"/>
              <w:right w:val="nil"/>
            </w:tcBorders>
            <w:shd w:val="clear" w:color="000000" w:fill="FFFFFF"/>
            <w:noWrap/>
            <w:vAlign w:val="center"/>
            <w:hideMark/>
          </w:tcPr>
          <w:p w14:paraId="0435F49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3.7</w:t>
            </w:r>
          </w:p>
        </w:tc>
        <w:tc>
          <w:tcPr>
            <w:tcW w:w="747" w:type="dxa"/>
            <w:tcBorders>
              <w:top w:val="nil"/>
              <w:left w:val="nil"/>
              <w:bottom w:val="nil"/>
              <w:right w:val="nil"/>
            </w:tcBorders>
            <w:shd w:val="clear" w:color="000000" w:fill="FFFFFF"/>
            <w:noWrap/>
            <w:vAlign w:val="center"/>
            <w:hideMark/>
          </w:tcPr>
          <w:p w14:paraId="24F60DA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c>
          <w:tcPr>
            <w:tcW w:w="850" w:type="dxa"/>
            <w:tcBorders>
              <w:top w:val="nil"/>
              <w:left w:val="nil"/>
              <w:bottom w:val="nil"/>
              <w:right w:val="nil"/>
            </w:tcBorders>
            <w:shd w:val="clear" w:color="000000" w:fill="FFFFFF"/>
            <w:noWrap/>
            <w:vAlign w:val="center"/>
            <w:hideMark/>
          </w:tcPr>
          <w:p w14:paraId="0E7627E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c>
          <w:tcPr>
            <w:tcW w:w="851" w:type="dxa"/>
            <w:tcBorders>
              <w:top w:val="nil"/>
              <w:left w:val="nil"/>
              <w:bottom w:val="nil"/>
              <w:right w:val="single" w:sz="8" w:space="0" w:color="auto"/>
            </w:tcBorders>
            <w:shd w:val="clear" w:color="000000" w:fill="FFFFFF"/>
            <w:noWrap/>
            <w:vAlign w:val="center"/>
            <w:hideMark/>
          </w:tcPr>
          <w:p w14:paraId="65E625F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3.8</w:t>
            </w:r>
          </w:p>
        </w:tc>
        <w:tc>
          <w:tcPr>
            <w:tcW w:w="850" w:type="dxa"/>
            <w:tcBorders>
              <w:top w:val="nil"/>
              <w:left w:val="nil"/>
              <w:bottom w:val="nil"/>
              <w:right w:val="nil"/>
            </w:tcBorders>
            <w:shd w:val="clear" w:color="000000" w:fill="FFFFFF"/>
            <w:noWrap/>
            <w:vAlign w:val="center"/>
            <w:hideMark/>
          </w:tcPr>
          <w:p w14:paraId="494AFBB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5.9</w:t>
            </w:r>
          </w:p>
        </w:tc>
        <w:tc>
          <w:tcPr>
            <w:tcW w:w="744" w:type="dxa"/>
            <w:tcBorders>
              <w:top w:val="nil"/>
              <w:left w:val="nil"/>
              <w:bottom w:val="nil"/>
              <w:right w:val="nil"/>
            </w:tcBorders>
            <w:shd w:val="clear" w:color="000000" w:fill="FFFFFF"/>
            <w:noWrap/>
            <w:vAlign w:val="center"/>
            <w:hideMark/>
          </w:tcPr>
          <w:p w14:paraId="5CA6D7B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4.5</w:t>
            </w:r>
          </w:p>
        </w:tc>
        <w:tc>
          <w:tcPr>
            <w:tcW w:w="850" w:type="dxa"/>
            <w:tcBorders>
              <w:top w:val="nil"/>
              <w:left w:val="nil"/>
              <w:bottom w:val="nil"/>
              <w:right w:val="nil"/>
            </w:tcBorders>
            <w:shd w:val="clear" w:color="000000" w:fill="FFFFFF"/>
            <w:noWrap/>
            <w:vAlign w:val="center"/>
            <w:hideMark/>
          </w:tcPr>
          <w:p w14:paraId="07AF8C7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5.7</w:t>
            </w:r>
          </w:p>
        </w:tc>
        <w:tc>
          <w:tcPr>
            <w:tcW w:w="851" w:type="dxa"/>
            <w:tcBorders>
              <w:top w:val="nil"/>
              <w:left w:val="nil"/>
              <w:bottom w:val="nil"/>
              <w:right w:val="single" w:sz="8" w:space="0" w:color="auto"/>
            </w:tcBorders>
            <w:shd w:val="clear" w:color="000000" w:fill="FFFFFF"/>
            <w:noWrap/>
            <w:vAlign w:val="center"/>
            <w:hideMark/>
          </w:tcPr>
          <w:p w14:paraId="74AB543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4.8</w:t>
            </w:r>
          </w:p>
        </w:tc>
      </w:tr>
      <w:tr w:rsidR="007C12C3" w:rsidRPr="00A92936" w14:paraId="1ED8714C"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3535DBB9"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6E3B099E"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819" w:type="dxa"/>
            <w:tcBorders>
              <w:top w:val="nil"/>
              <w:left w:val="single" w:sz="8" w:space="0" w:color="auto"/>
              <w:bottom w:val="nil"/>
              <w:right w:val="nil"/>
            </w:tcBorders>
            <w:shd w:val="clear" w:color="000000" w:fill="FFFFFF"/>
            <w:noWrap/>
            <w:vAlign w:val="center"/>
            <w:hideMark/>
          </w:tcPr>
          <w:p w14:paraId="69ECE23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2.6</w:t>
            </w:r>
          </w:p>
        </w:tc>
        <w:tc>
          <w:tcPr>
            <w:tcW w:w="747" w:type="dxa"/>
            <w:tcBorders>
              <w:top w:val="nil"/>
              <w:left w:val="nil"/>
              <w:bottom w:val="nil"/>
              <w:right w:val="nil"/>
            </w:tcBorders>
            <w:shd w:val="clear" w:color="000000" w:fill="FFFFFF"/>
            <w:noWrap/>
            <w:vAlign w:val="center"/>
            <w:hideMark/>
          </w:tcPr>
          <w:p w14:paraId="3FAE4BF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3.8</w:t>
            </w:r>
          </w:p>
        </w:tc>
        <w:tc>
          <w:tcPr>
            <w:tcW w:w="850" w:type="dxa"/>
            <w:tcBorders>
              <w:top w:val="nil"/>
              <w:left w:val="nil"/>
              <w:bottom w:val="nil"/>
              <w:right w:val="nil"/>
            </w:tcBorders>
            <w:shd w:val="clear" w:color="000000" w:fill="FFFFFF"/>
            <w:noWrap/>
            <w:vAlign w:val="center"/>
            <w:hideMark/>
          </w:tcPr>
          <w:p w14:paraId="1CA423B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5.5</w:t>
            </w:r>
          </w:p>
        </w:tc>
        <w:tc>
          <w:tcPr>
            <w:tcW w:w="851" w:type="dxa"/>
            <w:tcBorders>
              <w:top w:val="nil"/>
              <w:left w:val="nil"/>
              <w:bottom w:val="nil"/>
              <w:right w:val="single" w:sz="8" w:space="0" w:color="auto"/>
            </w:tcBorders>
            <w:shd w:val="clear" w:color="000000" w:fill="FFFFFF"/>
            <w:noWrap/>
            <w:vAlign w:val="center"/>
            <w:hideMark/>
          </w:tcPr>
          <w:p w14:paraId="5FFBAC3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4.7</w:t>
            </w:r>
          </w:p>
        </w:tc>
        <w:tc>
          <w:tcPr>
            <w:tcW w:w="850" w:type="dxa"/>
            <w:tcBorders>
              <w:top w:val="nil"/>
              <w:left w:val="nil"/>
              <w:bottom w:val="nil"/>
              <w:right w:val="nil"/>
            </w:tcBorders>
            <w:shd w:val="clear" w:color="000000" w:fill="FFFFFF"/>
            <w:noWrap/>
            <w:vAlign w:val="center"/>
            <w:hideMark/>
          </w:tcPr>
          <w:p w14:paraId="550A169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6.3</w:t>
            </w:r>
          </w:p>
        </w:tc>
        <w:tc>
          <w:tcPr>
            <w:tcW w:w="744" w:type="dxa"/>
            <w:tcBorders>
              <w:top w:val="nil"/>
              <w:left w:val="nil"/>
              <w:bottom w:val="nil"/>
              <w:right w:val="nil"/>
            </w:tcBorders>
            <w:shd w:val="clear" w:color="000000" w:fill="FFFFFF"/>
            <w:noWrap/>
            <w:vAlign w:val="center"/>
            <w:hideMark/>
          </w:tcPr>
          <w:p w14:paraId="7F12691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5.4</w:t>
            </w:r>
          </w:p>
        </w:tc>
        <w:tc>
          <w:tcPr>
            <w:tcW w:w="850" w:type="dxa"/>
            <w:tcBorders>
              <w:top w:val="nil"/>
              <w:left w:val="nil"/>
              <w:bottom w:val="nil"/>
              <w:right w:val="nil"/>
            </w:tcBorders>
            <w:shd w:val="clear" w:color="000000" w:fill="FFFFFF"/>
            <w:noWrap/>
            <w:vAlign w:val="center"/>
            <w:hideMark/>
          </w:tcPr>
          <w:p w14:paraId="0055777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6.2</w:t>
            </w:r>
          </w:p>
        </w:tc>
        <w:tc>
          <w:tcPr>
            <w:tcW w:w="851" w:type="dxa"/>
            <w:tcBorders>
              <w:top w:val="nil"/>
              <w:left w:val="nil"/>
              <w:bottom w:val="nil"/>
              <w:right w:val="single" w:sz="8" w:space="0" w:color="auto"/>
            </w:tcBorders>
            <w:shd w:val="clear" w:color="000000" w:fill="FFFFFF"/>
            <w:noWrap/>
            <w:vAlign w:val="center"/>
            <w:hideMark/>
          </w:tcPr>
          <w:p w14:paraId="69D4AC0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5.6</w:t>
            </w:r>
          </w:p>
        </w:tc>
      </w:tr>
      <w:tr w:rsidR="007C12C3" w:rsidRPr="00A92936" w14:paraId="7EF46923" w14:textId="77777777" w:rsidTr="007C12C3">
        <w:trPr>
          <w:trHeight w:val="465"/>
          <w:jc w:val="center"/>
        </w:trPr>
        <w:tc>
          <w:tcPr>
            <w:tcW w:w="1008" w:type="dxa"/>
            <w:vMerge/>
            <w:tcBorders>
              <w:top w:val="nil"/>
              <w:left w:val="single" w:sz="8" w:space="0" w:color="auto"/>
              <w:bottom w:val="double" w:sz="6" w:space="0" w:color="000000"/>
              <w:right w:val="nil"/>
            </w:tcBorders>
            <w:vAlign w:val="center"/>
            <w:hideMark/>
          </w:tcPr>
          <w:p w14:paraId="707F2FEC"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double" w:sz="6" w:space="0" w:color="auto"/>
              <w:right w:val="nil"/>
            </w:tcBorders>
            <w:shd w:val="clear" w:color="000000" w:fill="FFFFFF"/>
            <w:vAlign w:val="center"/>
            <w:hideMark/>
          </w:tcPr>
          <w:p w14:paraId="5A5E5D3B"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819" w:type="dxa"/>
            <w:tcBorders>
              <w:top w:val="nil"/>
              <w:left w:val="single" w:sz="8" w:space="0" w:color="auto"/>
              <w:bottom w:val="double" w:sz="6" w:space="0" w:color="auto"/>
              <w:right w:val="nil"/>
            </w:tcBorders>
            <w:shd w:val="clear" w:color="000000" w:fill="FFFFFF"/>
            <w:noWrap/>
            <w:vAlign w:val="center"/>
            <w:hideMark/>
          </w:tcPr>
          <w:p w14:paraId="712B7AD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5.3</w:t>
            </w:r>
          </w:p>
        </w:tc>
        <w:tc>
          <w:tcPr>
            <w:tcW w:w="747" w:type="dxa"/>
            <w:tcBorders>
              <w:top w:val="nil"/>
              <w:left w:val="nil"/>
              <w:bottom w:val="double" w:sz="6" w:space="0" w:color="auto"/>
              <w:right w:val="nil"/>
            </w:tcBorders>
            <w:shd w:val="clear" w:color="000000" w:fill="FFFFFF"/>
            <w:noWrap/>
            <w:vAlign w:val="center"/>
            <w:hideMark/>
          </w:tcPr>
          <w:p w14:paraId="2C15A01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4.8</w:t>
            </w:r>
          </w:p>
        </w:tc>
        <w:tc>
          <w:tcPr>
            <w:tcW w:w="850" w:type="dxa"/>
            <w:tcBorders>
              <w:top w:val="nil"/>
              <w:left w:val="nil"/>
              <w:bottom w:val="double" w:sz="6" w:space="0" w:color="auto"/>
              <w:right w:val="nil"/>
            </w:tcBorders>
            <w:shd w:val="clear" w:color="000000" w:fill="FFFFFF"/>
            <w:noWrap/>
            <w:vAlign w:val="center"/>
            <w:hideMark/>
          </w:tcPr>
          <w:p w14:paraId="54AA8B1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5.7</w:t>
            </w:r>
          </w:p>
        </w:tc>
        <w:tc>
          <w:tcPr>
            <w:tcW w:w="851" w:type="dxa"/>
            <w:tcBorders>
              <w:top w:val="nil"/>
              <w:left w:val="nil"/>
              <w:bottom w:val="double" w:sz="6" w:space="0" w:color="auto"/>
              <w:right w:val="single" w:sz="8" w:space="0" w:color="auto"/>
            </w:tcBorders>
            <w:shd w:val="clear" w:color="000000" w:fill="FFFFFF"/>
            <w:noWrap/>
            <w:vAlign w:val="center"/>
            <w:hideMark/>
          </w:tcPr>
          <w:p w14:paraId="2DA7905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5.5</w:t>
            </w:r>
          </w:p>
        </w:tc>
        <w:tc>
          <w:tcPr>
            <w:tcW w:w="850" w:type="dxa"/>
            <w:tcBorders>
              <w:top w:val="nil"/>
              <w:left w:val="nil"/>
              <w:bottom w:val="double" w:sz="6" w:space="0" w:color="auto"/>
              <w:right w:val="nil"/>
            </w:tcBorders>
            <w:shd w:val="clear" w:color="000000" w:fill="FFFFFF"/>
            <w:noWrap/>
            <w:vAlign w:val="center"/>
            <w:hideMark/>
          </w:tcPr>
          <w:p w14:paraId="1058DA9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7.1</w:t>
            </w:r>
          </w:p>
        </w:tc>
        <w:tc>
          <w:tcPr>
            <w:tcW w:w="744" w:type="dxa"/>
            <w:tcBorders>
              <w:top w:val="nil"/>
              <w:left w:val="nil"/>
              <w:bottom w:val="double" w:sz="6" w:space="0" w:color="auto"/>
              <w:right w:val="nil"/>
            </w:tcBorders>
            <w:shd w:val="clear" w:color="000000" w:fill="FFFFFF"/>
            <w:noWrap/>
            <w:vAlign w:val="center"/>
            <w:hideMark/>
          </w:tcPr>
          <w:p w14:paraId="3BC6477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6.3</w:t>
            </w:r>
          </w:p>
        </w:tc>
        <w:tc>
          <w:tcPr>
            <w:tcW w:w="850" w:type="dxa"/>
            <w:tcBorders>
              <w:top w:val="nil"/>
              <w:left w:val="nil"/>
              <w:bottom w:val="double" w:sz="6" w:space="0" w:color="auto"/>
              <w:right w:val="nil"/>
            </w:tcBorders>
            <w:shd w:val="clear" w:color="000000" w:fill="FFFFFF"/>
            <w:noWrap/>
            <w:vAlign w:val="center"/>
            <w:hideMark/>
          </w:tcPr>
          <w:p w14:paraId="40B0890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6.8</w:t>
            </w:r>
          </w:p>
        </w:tc>
        <w:tc>
          <w:tcPr>
            <w:tcW w:w="851" w:type="dxa"/>
            <w:tcBorders>
              <w:top w:val="nil"/>
              <w:left w:val="nil"/>
              <w:bottom w:val="double" w:sz="6" w:space="0" w:color="auto"/>
              <w:right w:val="single" w:sz="8" w:space="0" w:color="auto"/>
            </w:tcBorders>
            <w:shd w:val="clear" w:color="000000" w:fill="FFFFFF"/>
            <w:noWrap/>
            <w:vAlign w:val="center"/>
            <w:hideMark/>
          </w:tcPr>
          <w:p w14:paraId="4F86BC5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6.4</w:t>
            </w:r>
          </w:p>
        </w:tc>
      </w:tr>
      <w:tr w:rsidR="007C12C3" w:rsidRPr="00A92936" w14:paraId="6B8C6B0D" w14:textId="77777777" w:rsidTr="007C12C3">
        <w:trPr>
          <w:trHeight w:val="270"/>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01725682"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adolescentes de 12 a 14 años</w:t>
            </w:r>
          </w:p>
        </w:tc>
        <w:tc>
          <w:tcPr>
            <w:tcW w:w="1244" w:type="dxa"/>
            <w:tcBorders>
              <w:top w:val="nil"/>
              <w:left w:val="nil"/>
              <w:bottom w:val="nil"/>
              <w:right w:val="nil"/>
            </w:tcBorders>
            <w:shd w:val="clear" w:color="000000" w:fill="FFFFFF"/>
            <w:vAlign w:val="center"/>
            <w:hideMark/>
          </w:tcPr>
          <w:p w14:paraId="1A6D7732"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819" w:type="dxa"/>
            <w:tcBorders>
              <w:top w:val="nil"/>
              <w:left w:val="single" w:sz="8" w:space="0" w:color="auto"/>
              <w:bottom w:val="nil"/>
              <w:right w:val="nil"/>
            </w:tcBorders>
            <w:shd w:val="clear" w:color="000000" w:fill="FFFFFF"/>
            <w:noWrap/>
            <w:vAlign w:val="center"/>
            <w:hideMark/>
          </w:tcPr>
          <w:p w14:paraId="748274F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5.4</w:t>
            </w:r>
          </w:p>
        </w:tc>
        <w:tc>
          <w:tcPr>
            <w:tcW w:w="747" w:type="dxa"/>
            <w:tcBorders>
              <w:top w:val="nil"/>
              <w:left w:val="nil"/>
              <w:bottom w:val="nil"/>
              <w:right w:val="nil"/>
            </w:tcBorders>
            <w:shd w:val="clear" w:color="000000" w:fill="FFFFFF"/>
            <w:noWrap/>
            <w:vAlign w:val="center"/>
            <w:hideMark/>
          </w:tcPr>
          <w:p w14:paraId="4BCDBE6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3.6</w:t>
            </w:r>
          </w:p>
        </w:tc>
        <w:tc>
          <w:tcPr>
            <w:tcW w:w="850" w:type="dxa"/>
            <w:tcBorders>
              <w:top w:val="nil"/>
              <w:left w:val="nil"/>
              <w:bottom w:val="nil"/>
              <w:right w:val="nil"/>
            </w:tcBorders>
            <w:shd w:val="clear" w:color="000000" w:fill="FFFFFF"/>
            <w:noWrap/>
            <w:vAlign w:val="center"/>
            <w:hideMark/>
          </w:tcPr>
          <w:p w14:paraId="2F0E13C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c>
          <w:tcPr>
            <w:tcW w:w="851" w:type="dxa"/>
            <w:tcBorders>
              <w:top w:val="nil"/>
              <w:left w:val="nil"/>
              <w:bottom w:val="nil"/>
              <w:right w:val="single" w:sz="8" w:space="0" w:color="auto"/>
            </w:tcBorders>
            <w:shd w:val="clear" w:color="000000" w:fill="FFFFFF"/>
            <w:noWrap/>
            <w:vAlign w:val="center"/>
            <w:hideMark/>
          </w:tcPr>
          <w:p w14:paraId="4A190F5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3.9</w:t>
            </w:r>
          </w:p>
        </w:tc>
        <w:tc>
          <w:tcPr>
            <w:tcW w:w="850" w:type="dxa"/>
            <w:tcBorders>
              <w:top w:val="nil"/>
              <w:left w:val="nil"/>
              <w:bottom w:val="nil"/>
              <w:right w:val="nil"/>
            </w:tcBorders>
            <w:shd w:val="clear" w:color="000000" w:fill="FFFFFF"/>
            <w:noWrap/>
            <w:vAlign w:val="center"/>
            <w:hideMark/>
          </w:tcPr>
          <w:p w14:paraId="3E6E148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6.4</w:t>
            </w:r>
          </w:p>
        </w:tc>
        <w:tc>
          <w:tcPr>
            <w:tcW w:w="744" w:type="dxa"/>
            <w:tcBorders>
              <w:top w:val="nil"/>
              <w:left w:val="nil"/>
              <w:bottom w:val="nil"/>
              <w:right w:val="nil"/>
            </w:tcBorders>
            <w:shd w:val="clear" w:color="000000" w:fill="FFFFFF"/>
            <w:noWrap/>
            <w:vAlign w:val="center"/>
            <w:hideMark/>
          </w:tcPr>
          <w:p w14:paraId="201596E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c>
          <w:tcPr>
            <w:tcW w:w="850" w:type="dxa"/>
            <w:tcBorders>
              <w:top w:val="nil"/>
              <w:left w:val="nil"/>
              <w:bottom w:val="nil"/>
              <w:right w:val="nil"/>
            </w:tcBorders>
            <w:shd w:val="clear" w:color="000000" w:fill="FFFFFF"/>
            <w:noWrap/>
            <w:vAlign w:val="center"/>
            <w:hideMark/>
          </w:tcPr>
          <w:p w14:paraId="774A969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6.1</w:t>
            </w:r>
          </w:p>
        </w:tc>
        <w:tc>
          <w:tcPr>
            <w:tcW w:w="851" w:type="dxa"/>
            <w:tcBorders>
              <w:top w:val="nil"/>
              <w:left w:val="nil"/>
              <w:bottom w:val="nil"/>
              <w:right w:val="single" w:sz="8" w:space="0" w:color="auto"/>
            </w:tcBorders>
            <w:shd w:val="clear" w:color="000000" w:fill="FFFFFF"/>
            <w:noWrap/>
            <w:vAlign w:val="center"/>
            <w:hideMark/>
          </w:tcPr>
          <w:p w14:paraId="0380496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5.5</w:t>
            </w:r>
          </w:p>
        </w:tc>
      </w:tr>
      <w:tr w:rsidR="007C12C3" w:rsidRPr="00A92936" w14:paraId="600431EE"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04F3B6E1"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14BB919C"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819" w:type="dxa"/>
            <w:tcBorders>
              <w:top w:val="nil"/>
              <w:left w:val="single" w:sz="8" w:space="0" w:color="auto"/>
              <w:bottom w:val="nil"/>
              <w:right w:val="nil"/>
            </w:tcBorders>
            <w:shd w:val="clear" w:color="000000" w:fill="FFFFFF"/>
            <w:noWrap/>
            <w:vAlign w:val="center"/>
            <w:hideMark/>
          </w:tcPr>
          <w:p w14:paraId="7ACDC62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4.6</w:t>
            </w:r>
          </w:p>
        </w:tc>
        <w:tc>
          <w:tcPr>
            <w:tcW w:w="747" w:type="dxa"/>
            <w:tcBorders>
              <w:top w:val="nil"/>
              <w:left w:val="nil"/>
              <w:bottom w:val="nil"/>
              <w:right w:val="nil"/>
            </w:tcBorders>
            <w:shd w:val="clear" w:color="000000" w:fill="FFFFFF"/>
            <w:noWrap/>
            <w:vAlign w:val="center"/>
            <w:hideMark/>
          </w:tcPr>
          <w:p w14:paraId="433837D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2.8</w:t>
            </w:r>
          </w:p>
        </w:tc>
        <w:tc>
          <w:tcPr>
            <w:tcW w:w="850" w:type="dxa"/>
            <w:tcBorders>
              <w:top w:val="nil"/>
              <w:left w:val="nil"/>
              <w:bottom w:val="nil"/>
              <w:right w:val="nil"/>
            </w:tcBorders>
            <w:shd w:val="clear" w:color="000000" w:fill="FFFFFF"/>
            <w:noWrap/>
            <w:vAlign w:val="center"/>
            <w:hideMark/>
          </w:tcPr>
          <w:p w14:paraId="5EC1F87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4.4</w:t>
            </w:r>
          </w:p>
        </w:tc>
        <w:tc>
          <w:tcPr>
            <w:tcW w:w="851" w:type="dxa"/>
            <w:tcBorders>
              <w:top w:val="nil"/>
              <w:left w:val="nil"/>
              <w:bottom w:val="nil"/>
              <w:right w:val="single" w:sz="8" w:space="0" w:color="auto"/>
            </w:tcBorders>
            <w:shd w:val="clear" w:color="000000" w:fill="FFFFFF"/>
            <w:noWrap/>
            <w:vAlign w:val="center"/>
            <w:hideMark/>
          </w:tcPr>
          <w:p w14:paraId="52658EC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2.8</w:t>
            </w:r>
          </w:p>
        </w:tc>
        <w:tc>
          <w:tcPr>
            <w:tcW w:w="850" w:type="dxa"/>
            <w:tcBorders>
              <w:top w:val="nil"/>
              <w:left w:val="nil"/>
              <w:bottom w:val="nil"/>
              <w:right w:val="nil"/>
            </w:tcBorders>
            <w:shd w:val="clear" w:color="000000" w:fill="FFFFFF"/>
            <w:noWrap/>
            <w:vAlign w:val="center"/>
            <w:hideMark/>
          </w:tcPr>
          <w:p w14:paraId="1D24105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c>
          <w:tcPr>
            <w:tcW w:w="744" w:type="dxa"/>
            <w:tcBorders>
              <w:top w:val="nil"/>
              <w:left w:val="nil"/>
              <w:bottom w:val="nil"/>
              <w:right w:val="nil"/>
            </w:tcBorders>
            <w:shd w:val="clear" w:color="000000" w:fill="FFFFFF"/>
            <w:noWrap/>
            <w:vAlign w:val="center"/>
            <w:hideMark/>
          </w:tcPr>
          <w:p w14:paraId="0B93801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3.2</w:t>
            </w:r>
          </w:p>
        </w:tc>
        <w:tc>
          <w:tcPr>
            <w:tcW w:w="850" w:type="dxa"/>
            <w:tcBorders>
              <w:top w:val="nil"/>
              <w:left w:val="nil"/>
              <w:bottom w:val="nil"/>
              <w:right w:val="nil"/>
            </w:tcBorders>
            <w:shd w:val="clear" w:color="000000" w:fill="FFFFFF"/>
            <w:noWrap/>
            <w:vAlign w:val="center"/>
            <w:hideMark/>
          </w:tcPr>
          <w:p w14:paraId="34A6E6A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5.0</w:t>
            </w:r>
          </w:p>
        </w:tc>
        <w:tc>
          <w:tcPr>
            <w:tcW w:w="851" w:type="dxa"/>
            <w:tcBorders>
              <w:top w:val="nil"/>
              <w:left w:val="nil"/>
              <w:bottom w:val="nil"/>
              <w:right w:val="single" w:sz="8" w:space="0" w:color="auto"/>
            </w:tcBorders>
            <w:shd w:val="clear" w:color="000000" w:fill="FFFFFF"/>
            <w:noWrap/>
            <w:vAlign w:val="center"/>
            <w:hideMark/>
          </w:tcPr>
          <w:p w14:paraId="01EC444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3.7</w:t>
            </w:r>
          </w:p>
        </w:tc>
      </w:tr>
      <w:tr w:rsidR="007C12C3" w:rsidRPr="00A92936" w14:paraId="6F5B60FB"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1BFC6503"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3CBBDDA3"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819" w:type="dxa"/>
            <w:tcBorders>
              <w:top w:val="nil"/>
              <w:left w:val="single" w:sz="8" w:space="0" w:color="auto"/>
              <w:bottom w:val="nil"/>
              <w:right w:val="nil"/>
            </w:tcBorders>
            <w:shd w:val="clear" w:color="000000" w:fill="FFFFFF"/>
            <w:noWrap/>
            <w:vAlign w:val="center"/>
            <w:hideMark/>
          </w:tcPr>
          <w:p w14:paraId="0E327CE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6.5</w:t>
            </w:r>
          </w:p>
        </w:tc>
        <w:tc>
          <w:tcPr>
            <w:tcW w:w="747" w:type="dxa"/>
            <w:tcBorders>
              <w:top w:val="nil"/>
              <w:left w:val="nil"/>
              <w:bottom w:val="nil"/>
              <w:right w:val="nil"/>
            </w:tcBorders>
            <w:shd w:val="clear" w:color="000000" w:fill="FFFFFF"/>
            <w:noWrap/>
            <w:vAlign w:val="center"/>
            <w:hideMark/>
          </w:tcPr>
          <w:p w14:paraId="41ED5BD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3.5</w:t>
            </w:r>
          </w:p>
        </w:tc>
        <w:tc>
          <w:tcPr>
            <w:tcW w:w="850" w:type="dxa"/>
            <w:tcBorders>
              <w:top w:val="nil"/>
              <w:left w:val="nil"/>
              <w:bottom w:val="nil"/>
              <w:right w:val="nil"/>
            </w:tcBorders>
            <w:shd w:val="clear" w:color="000000" w:fill="FFFFFF"/>
            <w:noWrap/>
            <w:vAlign w:val="center"/>
            <w:hideMark/>
          </w:tcPr>
          <w:p w14:paraId="49EA19D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4.7</w:t>
            </w:r>
          </w:p>
        </w:tc>
        <w:tc>
          <w:tcPr>
            <w:tcW w:w="851" w:type="dxa"/>
            <w:tcBorders>
              <w:top w:val="nil"/>
              <w:left w:val="nil"/>
              <w:bottom w:val="nil"/>
              <w:right w:val="single" w:sz="8" w:space="0" w:color="auto"/>
            </w:tcBorders>
            <w:shd w:val="clear" w:color="000000" w:fill="FFFFFF"/>
            <w:noWrap/>
            <w:vAlign w:val="center"/>
            <w:hideMark/>
          </w:tcPr>
          <w:p w14:paraId="34EEC7F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3.6</w:t>
            </w:r>
          </w:p>
        </w:tc>
        <w:tc>
          <w:tcPr>
            <w:tcW w:w="850" w:type="dxa"/>
            <w:tcBorders>
              <w:top w:val="nil"/>
              <w:left w:val="nil"/>
              <w:bottom w:val="nil"/>
              <w:right w:val="nil"/>
            </w:tcBorders>
            <w:shd w:val="clear" w:color="000000" w:fill="FFFFFF"/>
            <w:noWrap/>
            <w:vAlign w:val="center"/>
            <w:hideMark/>
          </w:tcPr>
          <w:p w14:paraId="477A2DA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6.0</w:t>
            </w:r>
          </w:p>
        </w:tc>
        <w:tc>
          <w:tcPr>
            <w:tcW w:w="744" w:type="dxa"/>
            <w:tcBorders>
              <w:top w:val="nil"/>
              <w:left w:val="nil"/>
              <w:bottom w:val="nil"/>
              <w:right w:val="nil"/>
            </w:tcBorders>
            <w:shd w:val="clear" w:color="000000" w:fill="FFFFFF"/>
            <w:noWrap/>
            <w:vAlign w:val="center"/>
            <w:hideMark/>
          </w:tcPr>
          <w:p w14:paraId="3536B1E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4.5</w:t>
            </w:r>
          </w:p>
        </w:tc>
        <w:tc>
          <w:tcPr>
            <w:tcW w:w="850" w:type="dxa"/>
            <w:tcBorders>
              <w:top w:val="nil"/>
              <w:left w:val="nil"/>
              <w:bottom w:val="nil"/>
              <w:right w:val="nil"/>
            </w:tcBorders>
            <w:shd w:val="clear" w:color="000000" w:fill="FFFFFF"/>
            <w:noWrap/>
            <w:vAlign w:val="center"/>
            <w:hideMark/>
          </w:tcPr>
          <w:p w14:paraId="0E54521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5.8</w:t>
            </w:r>
          </w:p>
        </w:tc>
        <w:tc>
          <w:tcPr>
            <w:tcW w:w="851" w:type="dxa"/>
            <w:tcBorders>
              <w:top w:val="nil"/>
              <w:left w:val="nil"/>
              <w:bottom w:val="nil"/>
              <w:right w:val="single" w:sz="8" w:space="0" w:color="auto"/>
            </w:tcBorders>
            <w:shd w:val="clear" w:color="000000" w:fill="FFFFFF"/>
            <w:noWrap/>
            <w:vAlign w:val="center"/>
            <w:hideMark/>
          </w:tcPr>
          <w:p w14:paraId="53DD643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4.9</w:t>
            </w:r>
          </w:p>
        </w:tc>
      </w:tr>
      <w:tr w:rsidR="007C12C3" w:rsidRPr="00A92936" w14:paraId="0274CDC2"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1FA481CF"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0514A929"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819" w:type="dxa"/>
            <w:tcBorders>
              <w:top w:val="nil"/>
              <w:left w:val="single" w:sz="8" w:space="0" w:color="auto"/>
              <w:bottom w:val="nil"/>
              <w:right w:val="nil"/>
            </w:tcBorders>
            <w:shd w:val="clear" w:color="000000" w:fill="FFFFFF"/>
            <w:noWrap/>
            <w:vAlign w:val="center"/>
            <w:hideMark/>
          </w:tcPr>
          <w:p w14:paraId="04AA3DE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4.9</w:t>
            </w:r>
          </w:p>
        </w:tc>
        <w:tc>
          <w:tcPr>
            <w:tcW w:w="747" w:type="dxa"/>
            <w:tcBorders>
              <w:top w:val="nil"/>
              <w:left w:val="nil"/>
              <w:bottom w:val="nil"/>
              <w:right w:val="nil"/>
            </w:tcBorders>
            <w:shd w:val="clear" w:color="000000" w:fill="FFFFFF"/>
            <w:noWrap/>
            <w:vAlign w:val="center"/>
            <w:hideMark/>
          </w:tcPr>
          <w:p w14:paraId="1215564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4.1</w:t>
            </w:r>
          </w:p>
        </w:tc>
        <w:tc>
          <w:tcPr>
            <w:tcW w:w="850" w:type="dxa"/>
            <w:tcBorders>
              <w:top w:val="nil"/>
              <w:left w:val="nil"/>
              <w:bottom w:val="nil"/>
              <w:right w:val="nil"/>
            </w:tcBorders>
            <w:shd w:val="clear" w:color="000000" w:fill="FFFFFF"/>
            <w:noWrap/>
            <w:vAlign w:val="center"/>
            <w:hideMark/>
          </w:tcPr>
          <w:p w14:paraId="579BC4B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5.1</w:t>
            </w:r>
          </w:p>
        </w:tc>
        <w:tc>
          <w:tcPr>
            <w:tcW w:w="851" w:type="dxa"/>
            <w:tcBorders>
              <w:top w:val="nil"/>
              <w:left w:val="nil"/>
              <w:bottom w:val="nil"/>
              <w:right w:val="single" w:sz="8" w:space="0" w:color="auto"/>
            </w:tcBorders>
            <w:shd w:val="clear" w:color="000000" w:fill="FFFFFF"/>
            <w:noWrap/>
            <w:vAlign w:val="center"/>
            <w:hideMark/>
          </w:tcPr>
          <w:p w14:paraId="0DD5D7E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4.4</w:t>
            </w:r>
          </w:p>
        </w:tc>
        <w:tc>
          <w:tcPr>
            <w:tcW w:w="850" w:type="dxa"/>
            <w:tcBorders>
              <w:top w:val="nil"/>
              <w:left w:val="nil"/>
              <w:bottom w:val="nil"/>
              <w:right w:val="nil"/>
            </w:tcBorders>
            <w:shd w:val="clear" w:color="000000" w:fill="FFFFFF"/>
            <w:noWrap/>
            <w:vAlign w:val="center"/>
            <w:hideMark/>
          </w:tcPr>
          <w:p w14:paraId="5FC785D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6.5</w:t>
            </w:r>
          </w:p>
        </w:tc>
        <w:tc>
          <w:tcPr>
            <w:tcW w:w="744" w:type="dxa"/>
            <w:tcBorders>
              <w:top w:val="nil"/>
              <w:left w:val="nil"/>
              <w:bottom w:val="nil"/>
              <w:right w:val="nil"/>
            </w:tcBorders>
            <w:shd w:val="clear" w:color="000000" w:fill="FFFFFF"/>
            <w:noWrap/>
            <w:vAlign w:val="center"/>
            <w:hideMark/>
          </w:tcPr>
          <w:p w14:paraId="04665E4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5.4</w:t>
            </w:r>
          </w:p>
        </w:tc>
        <w:tc>
          <w:tcPr>
            <w:tcW w:w="850" w:type="dxa"/>
            <w:tcBorders>
              <w:top w:val="nil"/>
              <w:left w:val="nil"/>
              <w:bottom w:val="nil"/>
              <w:right w:val="nil"/>
            </w:tcBorders>
            <w:shd w:val="clear" w:color="000000" w:fill="FFFFFF"/>
            <w:noWrap/>
            <w:vAlign w:val="center"/>
            <w:hideMark/>
          </w:tcPr>
          <w:p w14:paraId="663C779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6.2</w:t>
            </w:r>
          </w:p>
        </w:tc>
        <w:tc>
          <w:tcPr>
            <w:tcW w:w="851" w:type="dxa"/>
            <w:tcBorders>
              <w:top w:val="nil"/>
              <w:left w:val="nil"/>
              <w:bottom w:val="nil"/>
              <w:right w:val="single" w:sz="8" w:space="0" w:color="auto"/>
            </w:tcBorders>
            <w:shd w:val="clear" w:color="000000" w:fill="FFFFFF"/>
            <w:noWrap/>
            <w:vAlign w:val="center"/>
            <w:hideMark/>
          </w:tcPr>
          <w:p w14:paraId="38C541A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5.8</w:t>
            </w:r>
          </w:p>
        </w:tc>
      </w:tr>
      <w:tr w:rsidR="007C12C3" w:rsidRPr="00A92936" w14:paraId="028803DF" w14:textId="77777777" w:rsidTr="007C12C3">
        <w:trPr>
          <w:trHeight w:val="465"/>
          <w:jc w:val="center"/>
        </w:trPr>
        <w:tc>
          <w:tcPr>
            <w:tcW w:w="1008" w:type="dxa"/>
            <w:vMerge/>
            <w:tcBorders>
              <w:top w:val="nil"/>
              <w:left w:val="single" w:sz="8" w:space="0" w:color="auto"/>
              <w:bottom w:val="double" w:sz="6" w:space="0" w:color="000000"/>
              <w:right w:val="nil"/>
            </w:tcBorders>
            <w:vAlign w:val="center"/>
            <w:hideMark/>
          </w:tcPr>
          <w:p w14:paraId="56064B64"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double" w:sz="6" w:space="0" w:color="auto"/>
              <w:right w:val="nil"/>
            </w:tcBorders>
            <w:shd w:val="clear" w:color="000000" w:fill="FFFFFF"/>
            <w:vAlign w:val="center"/>
            <w:hideMark/>
          </w:tcPr>
          <w:p w14:paraId="4A8712D9"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819" w:type="dxa"/>
            <w:tcBorders>
              <w:top w:val="nil"/>
              <w:left w:val="single" w:sz="8" w:space="0" w:color="auto"/>
              <w:bottom w:val="double" w:sz="6" w:space="0" w:color="auto"/>
              <w:right w:val="nil"/>
            </w:tcBorders>
            <w:shd w:val="clear" w:color="000000" w:fill="FFFFFF"/>
            <w:noWrap/>
            <w:vAlign w:val="center"/>
            <w:hideMark/>
          </w:tcPr>
          <w:p w14:paraId="3AEADF4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5.9</w:t>
            </w:r>
          </w:p>
        </w:tc>
        <w:tc>
          <w:tcPr>
            <w:tcW w:w="747" w:type="dxa"/>
            <w:tcBorders>
              <w:top w:val="nil"/>
              <w:left w:val="nil"/>
              <w:bottom w:val="double" w:sz="6" w:space="0" w:color="auto"/>
              <w:right w:val="nil"/>
            </w:tcBorders>
            <w:shd w:val="clear" w:color="000000" w:fill="FFFFFF"/>
            <w:noWrap/>
            <w:vAlign w:val="center"/>
            <w:hideMark/>
          </w:tcPr>
          <w:p w14:paraId="5F85905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4.8</w:t>
            </w:r>
          </w:p>
        </w:tc>
        <w:tc>
          <w:tcPr>
            <w:tcW w:w="850" w:type="dxa"/>
            <w:tcBorders>
              <w:top w:val="nil"/>
              <w:left w:val="nil"/>
              <w:bottom w:val="double" w:sz="6" w:space="0" w:color="auto"/>
              <w:right w:val="nil"/>
            </w:tcBorders>
            <w:shd w:val="clear" w:color="000000" w:fill="FFFFFF"/>
            <w:noWrap/>
            <w:vAlign w:val="center"/>
            <w:hideMark/>
          </w:tcPr>
          <w:p w14:paraId="21FE839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6.3</w:t>
            </w:r>
          </w:p>
        </w:tc>
        <w:tc>
          <w:tcPr>
            <w:tcW w:w="851" w:type="dxa"/>
            <w:tcBorders>
              <w:top w:val="nil"/>
              <w:left w:val="nil"/>
              <w:bottom w:val="double" w:sz="6" w:space="0" w:color="auto"/>
              <w:right w:val="single" w:sz="8" w:space="0" w:color="auto"/>
            </w:tcBorders>
            <w:shd w:val="clear" w:color="000000" w:fill="FFFFFF"/>
            <w:noWrap/>
            <w:vAlign w:val="center"/>
            <w:hideMark/>
          </w:tcPr>
          <w:p w14:paraId="3C0AFD9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5.0</w:t>
            </w:r>
          </w:p>
        </w:tc>
        <w:tc>
          <w:tcPr>
            <w:tcW w:w="850" w:type="dxa"/>
            <w:tcBorders>
              <w:top w:val="nil"/>
              <w:left w:val="nil"/>
              <w:bottom w:val="double" w:sz="6" w:space="0" w:color="auto"/>
              <w:right w:val="nil"/>
            </w:tcBorders>
            <w:shd w:val="clear" w:color="000000" w:fill="FFFFFF"/>
            <w:noWrap/>
            <w:vAlign w:val="center"/>
            <w:hideMark/>
          </w:tcPr>
          <w:p w14:paraId="0CB04E0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7.2</w:t>
            </w:r>
          </w:p>
        </w:tc>
        <w:tc>
          <w:tcPr>
            <w:tcW w:w="744" w:type="dxa"/>
            <w:tcBorders>
              <w:top w:val="nil"/>
              <w:left w:val="nil"/>
              <w:bottom w:val="double" w:sz="6" w:space="0" w:color="auto"/>
              <w:right w:val="nil"/>
            </w:tcBorders>
            <w:shd w:val="clear" w:color="000000" w:fill="FFFFFF"/>
            <w:noWrap/>
            <w:vAlign w:val="center"/>
            <w:hideMark/>
          </w:tcPr>
          <w:p w14:paraId="62AD00E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6.5</w:t>
            </w:r>
          </w:p>
        </w:tc>
        <w:tc>
          <w:tcPr>
            <w:tcW w:w="850" w:type="dxa"/>
            <w:tcBorders>
              <w:top w:val="nil"/>
              <w:left w:val="nil"/>
              <w:bottom w:val="double" w:sz="6" w:space="0" w:color="auto"/>
              <w:right w:val="nil"/>
            </w:tcBorders>
            <w:shd w:val="clear" w:color="000000" w:fill="FFFFFF"/>
            <w:noWrap/>
            <w:vAlign w:val="center"/>
            <w:hideMark/>
          </w:tcPr>
          <w:p w14:paraId="2209ADB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7.1</w:t>
            </w:r>
          </w:p>
        </w:tc>
        <w:tc>
          <w:tcPr>
            <w:tcW w:w="851" w:type="dxa"/>
            <w:tcBorders>
              <w:top w:val="nil"/>
              <w:left w:val="nil"/>
              <w:bottom w:val="double" w:sz="6" w:space="0" w:color="auto"/>
              <w:right w:val="single" w:sz="8" w:space="0" w:color="auto"/>
            </w:tcBorders>
            <w:shd w:val="clear" w:color="000000" w:fill="FFFFFF"/>
            <w:noWrap/>
            <w:vAlign w:val="center"/>
            <w:hideMark/>
          </w:tcPr>
          <w:p w14:paraId="685AE82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6.6</w:t>
            </w:r>
          </w:p>
        </w:tc>
      </w:tr>
      <w:tr w:rsidR="007C12C3" w:rsidRPr="00A92936" w14:paraId="46971507" w14:textId="77777777" w:rsidTr="007C12C3">
        <w:trPr>
          <w:trHeight w:val="270"/>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3709393C"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jóvenes de 15 a 17 años</w:t>
            </w:r>
          </w:p>
        </w:tc>
        <w:tc>
          <w:tcPr>
            <w:tcW w:w="1244" w:type="dxa"/>
            <w:tcBorders>
              <w:top w:val="nil"/>
              <w:left w:val="nil"/>
              <w:bottom w:val="nil"/>
              <w:right w:val="nil"/>
            </w:tcBorders>
            <w:shd w:val="clear" w:color="000000" w:fill="FFFFFF"/>
            <w:vAlign w:val="center"/>
            <w:hideMark/>
          </w:tcPr>
          <w:p w14:paraId="77E5879D"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819" w:type="dxa"/>
            <w:tcBorders>
              <w:top w:val="nil"/>
              <w:left w:val="single" w:sz="8" w:space="0" w:color="auto"/>
              <w:bottom w:val="nil"/>
              <w:right w:val="nil"/>
            </w:tcBorders>
            <w:shd w:val="clear" w:color="000000" w:fill="FFFFFF"/>
            <w:noWrap/>
            <w:vAlign w:val="center"/>
            <w:hideMark/>
          </w:tcPr>
          <w:p w14:paraId="3B909A8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5.7</w:t>
            </w:r>
          </w:p>
        </w:tc>
        <w:tc>
          <w:tcPr>
            <w:tcW w:w="747" w:type="dxa"/>
            <w:tcBorders>
              <w:top w:val="nil"/>
              <w:left w:val="nil"/>
              <w:bottom w:val="nil"/>
              <w:right w:val="nil"/>
            </w:tcBorders>
            <w:shd w:val="clear" w:color="000000" w:fill="FFFFFF"/>
            <w:noWrap/>
            <w:vAlign w:val="center"/>
            <w:hideMark/>
          </w:tcPr>
          <w:p w14:paraId="358611A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4.1</w:t>
            </w:r>
          </w:p>
        </w:tc>
        <w:tc>
          <w:tcPr>
            <w:tcW w:w="850" w:type="dxa"/>
            <w:tcBorders>
              <w:top w:val="nil"/>
              <w:left w:val="nil"/>
              <w:bottom w:val="nil"/>
              <w:right w:val="nil"/>
            </w:tcBorders>
            <w:shd w:val="clear" w:color="000000" w:fill="FFFFFF"/>
            <w:noWrap/>
            <w:vAlign w:val="center"/>
            <w:hideMark/>
          </w:tcPr>
          <w:p w14:paraId="735F115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5.0</w:t>
            </w:r>
          </w:p>
        </w:tc>
        <w:tc>
          <w:tcPr>
            <w:tcW w:w="851" w:type="dxa"/>
            <w:tcBorders>
              <w:top w:val="nil"/>
              <w:left w:val="nil"/>
              <w:bottom w:val="nil"/>
              <w:right w:val="single" w:sz="8" w:space="0" w:color="auto"/>
            </w:tcBorders>
            <w:shd w:val="clear" w:color="000000" w:fill="FFFFFF"/>
            <w:noWrap/>
            <w:vAlign w:val="center"/>
            <w:hideMark/>
          </w:tcPr>
          <w:p w14:paraId="212A591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4.2</w:t>
            </w:r>
          </w:p>
        </w:tc>
        <w:tc>
          <w:tcPr>
            <w:tcW w:w="850" w:type="dxa"/>
            <w:tcBorders>
              <w:top w:val="nil"/>
              <w:left w:val="nil"/>
              <w:bottom w:val="nil"/>
              <w:right w:val="nil"/>
            </w:tcBorders>
            <w:shd w:val="clear" w:color="000000" w:fill="FFFFFF"/>
            <w:noWrap/>
            <w:vAlign w:val="center"/>
            <w:hideMark/>
          </w:tcPr>
          <w:p w14:paraId="70A83FE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7.1</w:t>
            </w:r>
          </w:p>
        </w:tc>
        <w:tc>
          <w:tcPr>
            <w:tcW w:w="744" w:type="dxa"/>
            <w:tcBorders>
              <w:top w:val="nil"/>
              <w:left w:val="nil"/>
              <w:bottom w:val="nil"/>
              <w:right w:val="nil"/>
            </w:tcBorders>
            <w:shd w:val="clear" w:color="000000" w:fill="FFFFFF"/>
            <w:noWrap/>
            <w:vAlign w:val="center"/>
            <w:hideMark/>
          </w:tcPr>
          <w:p w14:paraId="01A9B4B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5.9</w:t>
            </w:r>
          </w:p>
        </w:tc>
        <w:tc>
          <w:tcPr>
            <w:tcW w:w="850" w:type="dxa"/>
            <w:tcBorders>
              <w:top w:val="nil"/>
              <w:left w:val="nil"/>
              <w:bottom w:val="nil"/>
              <w:right w:val="nil"/>
            </w:tcBorders>
            <w:shd w:val="clear" w:color="000000" w:fill="FFFFFF"/>
            <w:noWrap/>
            <w:vAlign w:val="center"/>
            <w:hideMark/>
          </w:tcPr>
          <w:p w14:paraId="6686210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6.4</w:t>
            </w:r>
          </w:p>
        </w:tc>
        <w:tc>
          <w:tcPr>
            <w:tcW w:w="851" w:type="dxa"/>
            <w:tcBorders>
              <w:top w:val="nil"/>
              <w:left w:val="nil"/>
              <w:bottom w:val="nil"/>
              <w:right w:val="single" w:sz="8" w:space="0" w:color="auto"/>
            </w:tcBorders>
            <w:shd w:val="clear" w:color="000000" w:fill="FFFFFF"/>
            <w:noWrap/>
            <w:vAlign w:val="center"/>
            <w:hideMark/>
          </w:tcPr>
          <w:p w14:paraId="42AECA6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6.0</w:t>
            </w:r>
          </w:p>
        </w:tc>
      </w:tr>
      <w:tr w:rsidR="007C12C3" w:rsidRPr="00A92936" w14:paraId="06F938C5"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2D0E77F3"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1F1C66EB"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819" w:type="dxa"/>
            <w:tcBorders>
              <w:top w:val="nil"/>
              <w:left w:val="single" w:sz="8" w:space="0" w:color="auto"/>
              <w:bottom w:val="nil"/>
              <w:right w:val="nil"/>
            </w:tcBorders>
            <w:shd w:val="clear" w:color="000000" w:fill="FFFFFF"/>
            <w:noWrap/>
            <w:vAlign w:val="center"/>
            <w:hideMark/>
          </w:tcPr>
          <w:p w14:paraId="1FA4FD5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4.5</w:t>
            </w:r>
          </w:p>
        </w:tc>
        <w:tc>
          <w:tcPr>
            <w:tcW w:w="747" w:type="dxa"/>
            <w:tcBorders>
              <w:top w:val="nil"/>
              <w:left w:val="nil"/>
              <w:bottom w:val="nil"/>
              <w:right w:val="nil"/>
            </w:tcBorders>
            <w:shd w:val="clear" w:color="000000" w:fill="FFFFFF"/>
            <w:noWrap/>
            <w:vAlign w:val="center"/>
            <w:hideMark/>
          </w:tcPr>
          <w:p w14:paraId="1797E6B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c>
          <w:tcPr>
            <w:tcW w:w="850" w:type="dxa"/>
            <w:tcBorders>
              <w:top w:val="nil"/>
              <w:left w:val="nil"/>
              <w:bottom w:val="nil"/>
              <w:right w:val="nil"/>
            </w:tcBorders>
            <w:shd w:val="clear" w:color="000000" w:fill="FFFFFF"/>
            <w:noWrap/>
            <w:vAlign w:val="center"/>
            <w:hideMark/>
          </w:tcPr>
          <w:p w14:paraId="397BF5B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4.4</w:t>
            </w:r>
          </w:p>
        </w:tc>
        <w:tc>
          <w:tcPr>
            <w:tcW w:w="851" w:type="dxa"/>
            <w:tcBorders>
              <w:top w:val="nil"/>
              <w:left w:val="nil"/>
              <w:bottom w:val="nil"/>
              <w:right w:val="single" w:sz="8" w:space="0" w:color="auto"/>
            </w:tcBorders>
            <w:shd w:val="clear" w:color="000000" w:fill="FFFFFF"/>
            <w:noWrap/>
            <w:vAlign w:val="center"/>
            <w:hideMark/>
          </w:tcPr>
          <w:p w14:paraId="638D6C0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850" w:type="dxa"/>
            <w:tcBorders>
              <w:top w:val="nil"/>
              <w:left w:val="nil"/>
              <w:bottom w:val="nil"/>
              <w:right w:val="nil"/>
            </w:tcBorders>
            <w:shd w:val="clear" w:color="000000" w:fill="FFFFFF"/>
            <w:noWrap/>
            <w:vAlign w:val="center"/>
            <w:hideMark/>
          </w:tcPr>
          <w:p w14:paraId="437540F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5.4</w:t>
            </w:r>
          </w:p>
        </w:tc>
        <w:tc>
          <w:tcPr>
            <w:tcW w:w="744" w:type="dxa"/>
            <w:tcBorders>
              <w:top w:val="nil"/>
              <w:left w:val="nil"/>
              <w:bottom w:val="nil"/>
              <w:right w:val="nil"/>
            </w:tcBorders>
            <w:shd w:val="clear" w:color="000000" w:fill="FFFFFF"/>
            <w:noWrap/>
            <w:vAlign w:val="center"/>
            <w:hideMark/>
          </w:tcPr>
          <w:p w14:paraId="044B604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3.5</w:t>
            </w:r>
          </w:p>
        </w:tc>
        <w:tc>
          <w:tcPr>
            <w:tcW w:w="850" w:type="dxa"/>
            <w:tcBorders>
              <w:top w:val="nil"/>
              <w:left w:val="nil"/>
              <w:bottom w:val="nil"/>
              <w:right w:val="nil"/>
            </w:tcBorders>
            <w:shd w:val="clear" w:color="000000" w:fill="FFFFFF"/>
            <w:noWrap/>
            <w:vAlign w:val="center"/>
            <w:hideMark/>
          </w:tcPr>
          <w:p w14:paraId="5AB9AEB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5.3</w:t>
            </w:r>
          </w:p>
        </w:tc>
        <w:tc>
          <w:tcPr>
            <w:tcW w:w="851" w:type="dxa"/>
            <w:tcBorders>
              <w:top w:val="nil"/>
              <w:left w:val="nil"/>
              <w:bottom w:val="nil"/>
              <w:right w:val="single" w:sz="8" w:space="0" w:color="auto"/>
            </w:tcBorders>
            <w:shd w:val="clear" w:color="000000" w:fill="FFFFFF"/>
            <w:noWrap/>
            <w:vAlign w:val="center"/>
            <w:hideMark/>
          </w:tcPr>
          <w:p w14:paraId="2070159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3.9</w:t>
            </w:r>
          </w:p>
        </w:tc>
      </w:tr>
      <w:tr w:rsidR="007C12C3" w:rsidRPr="00A92936" w14:paraId="552365B1"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22039B29"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7F643335"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819" w:type="dxa"/>
            <w:tcBorders>
              <w:top w:val="nil"/>
              <w:left w:val="single" w:sz="8" w:space="0" w:color="auto"/>
              <w:bottom w:val="nil"/>
              <w:right w:val="nil"/>
            </w:tcBorders>
            <w:shd w:val="clear" w:color="000000" w:fill="FFFFFF"/>
            <w:noWrap/>
            <w:vAlign w:val="center"/>
            <w:hideMark/>
          </w:tcPr>
          <w:p w14:paraId="420D64C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5.5</w:t>
            </w:r>
          </w:p>
        </w:tc>
        <w:tc>
          <w:tcPr>
            <w:tcW w:w="747" w:type="dxa"/>
            <w:tcBorders>
              <w:top w:val="nil"/>
              <w:left w:val="nil"/>
              <w:bottom w:val="nil"/>
              <w:right w:val="nil"/>
            </w:tcBorders>
            <w:shd w:val="clear" w:color="000000" w:fill="FFFFFF"/>
            <w:noWrap/>
            <w:vAlign w:val="center"/>
            <w:hideMark/>
          </w:tcPr>
          <w:p w14:paraId="16DEF43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3.8</w:t>
            </w:r>
          </w:p>
        </w:tc>
        <w:tc>
          <w:tcPr>
            <w:tcW w:w="850" w:type="dxa"/>
            <w:tcBorders>
              <w:top w:val="nil"/>
              <w:left w:val="nil"/>
              <w:bottom w:val="nil"/>
              <w:right w:val="nil"/>
            </w:tcBorders>
            <w:shd w:val="clear" w:color="000000" w:fill="FFFFFF"/>
            <w:noWrap/>
            <w:vAlign w:val="center"/>
            <w:hideMark/>
          </w:tcPr>
          <w:p w14:paraId="024AB87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5.0</w:t>
            </w:r>
          </w:p>
        </w:tc>
        <w:tc>
          <w:tcPr>
            <w:tcW w:w="851" w:type="dxa"/>
            <w:tcBorders>
              <w:top w:val="nil"/>
              <w:left w:val="nil"/>
              <w:bottom w:val="nil"/>
              <w:right w:val="single" w:sz="8" w:space="0" w:color="auto"/>
            </w:tcBorders>
            <w:shd w:val="clear" w:color="000000" w:fill="FFFFFF"/>
            <w:noWrap/>
            <w:vAlign w:val="center"/>
            <w:hideMark/>
          </w:tcPr>
          <w:p w14:paraId="0794989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4.0</w:t>
            </w:r>
          </w:p>
        </w:tc>
        <w:tc>
          <w:tcPr>
            <w:tcW w:w="850" w:type="dxa"/>
            <w:tcBorders>
              <w:top w:val="nil"/>
              <w:left w:val="nil"/>
              <w:bottom w:val="nil"/>
              <w:right w:val="nil"/>
            </w:tcBorders>
            <w:shd w:val="clear" w:color="000000" w:fill="FFFFFF"/>
            <w:noWrap/>
            <w:vAlign w:val="center"/>
            <w:hideMark/>
          </w:tcPr>
          <w:p w14:paraId="6AAD772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6.0</w:t>
            </w:r>
          </w:p>
        </w:tc>
        <w:tc>
          <w:tcPr>
            <w:tcW w:w="744" w:type="dxa"/>
            <w:tcBorders>
              <w:top w:val="nil"/>
              <w:left w:val="nil"/>
              <w:bottom w:val="nil"/>
              <w:right w:val="nil"/>
            </w:tcBorders>
            <w:shd w:val="clear" w:color="000000" w:fill="FFFFFF"/>
            <w:noWrap/>
            <w:vAlign w:val="center"/>
            <w:hideMark/>
          </w:tcPr>
          <w:p w14:paraId="1BC1BFE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5.0</w:t>
            </w:r>
          </w:p>
        </w:tc>
        <w:tc>
          <w:tcPr>
            <w:tcW w:w="850" w:type="dxa"/>
            <w:tcBorders>
              <w:top w:val="nil"/>
              <w:left w:val="nil"/>
              <w:bottom w:val="nil"/>
              <w:right w:val="nil"/>
            </w:tcBorders>
            <w:shd w:val="clear" w:color="000000" w:fill="FFFFFF"/>
            <w:noWrap/>
            <w:vAlign w:val="center"/>
            <w:hideMark/>
          </w:tcPr>
          <w:p w14:paraId="72EC8F5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6.2</w:t>
            </w:r>
          </w:p>
        </w:tc>
        <w:tc>
          <w:tcPr>
            <w:tcW w:w="851" w:type="dxa"/>
            <w:tcBorders>
              <w:top w:val="nil"/>
              <w:left w:val="nil"/>
              <w:bottom w:val="nil"/>
              <w:right w:val="single" w:sz="8" w:space="0" w:color="auto"/>
            </w:tcBorders>
            <w:shd w:val="clear" w:color="000000" w:fill="FFFFFF"/>
            <w:noWrap/>
            <w:vAlign w:val="center"/>
            <w:hideMark/>
          </w:tcPr>
          <w:p w14:paraId="78439E7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r>
      <w:tr w:rsidR="007C12C3" w:rsidRPr="00A92936" w14:paraId="4C307A3F"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4A011A22"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2754543C"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819" w:type="dxa"/>
            <w:tcBorders>
              <w:top w:val="nil"/>
              <w:left w:val="single" w:sz="8" w:space="0" w:color="auto"/>
              <w:bottom w:val="nil"/>
              <w:right w:val="nil"/>
            </w:tcBorders>
            <w:shd w:val="clear" w:color="000000" w:fill="FFFFFF"/>
            <w:noWrap/>
            <w:vAlign w:val="center"/>
            <w:hideMark/>
          </w:tcPr>
          <w:p w14:paraId="6930390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5.8</w:t>
            </w:r>
          </w:p>
        </w:tc>
        <w:tc>
          <w:tcPr>
            <w:tcW w:w="747" w:type="dxa"/>
            <w:tcBorders>
              <w:top w:val="nil"/>
              <w:left w:val="nil"/>
              <w:bottom w:val="nil"/>
              <w:right w:val="nil"/>
            </w:tcBorders>
            <w:shd w:val="clear" w:color="000000" w:fill="FFFFFF"/>
            <w:noWrap/>
            <w:vAlign w:val="center"/>
            <w:hideMark/>
          </w:tcPr>
          <w:p w14:paraId="7A0849A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4.5</w:t>
            </w:r>
          </w:p>
        </w:tc>
        <w:tc>
          <w:tcPr>
            <w:tcW w:w="850" w:type="dxa"/>
            <w:tcBorders>
              <w:top w:val="nil"/>
              <w:left w:val="nil"/>
              <w:bottom w:val="nil"/>
              <w:right w:val="nil"/>
            </w:tcBorders>
            <w:shd w:val="clear" w:color="000000" w:fill="FFFFFF"/>
            <w:noWrap/>
            <w:vAlign w:val="center"/>
            <w:hideMark/>
          </w:tcPr>
          <w:p w14:paraId="2AFDBD5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c>
          <w:tcPr>
            <w:tcW w:w="851" w:type="dxa"/>
            <w:tcBorders>
              <w:top w:val="nil"/>
              <w:left w:val="nil"/>
              <w:bottom w:val="nil"/>
              <w:right w:val="single" w:sz="8" w:space="0" w:color="auto"/>
            </w:tcBorders>
            <w:shd w:val="clear" w:color="000000" w:fill="FFFFFF"/>
            <w:noWrap/>
            <w:vAlign w:val="center"/>
            <w:hideMark/>
          </w:tcPr>
          <w:p w14:paraId="6356A02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4.7</w:t>
            </w:r>
          </w:p>
        </w:tc>
        <w:tc>
          <w:tcPr>
            <w:tcW w:w="850" w:type="dxa"/>
            <w:tcBorders>
              <w:top w:val="nil"/>
              <w:left w:val="nil"/>
              <w:bottom w:val="nil"/>
              <w:right w:val="nil"/>
            </w:tcBorders>
            <w:shd w:val="clear" w:color="000000" w:fill="FFFFFF"/>
            <w:noWrap/>
            <w:vAlign w:val="center"/>
            <w:hideMark/>
          </w:tcPr>
          <w:p w14:paraId="0D4BE72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6.6</w:t>
            </w:r>
          </w:p>
        </w:tc>
        <w:tc>
          <w:tcPr>
            <w:tcW w:w="744" w:type="dxa"/>
            <w:tcBorders>
              <w:top w:val="nil"/>
              <w:left w:val="nil"/>
              <w:bottom w:val="nil"/>
              <w:right w:val="nil"/>
            </w:tcBorders>
            <w:shd w:val="clear" w:color="000000" w:fill="FFFFFF"/>
            <w:noWrap/>
            <w:vAlign w:val="center"/>
            <w:hideMark/>
          </w:tcPr>
          <w:p w14:paraId="33F02A0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5.9</w:t>
            </w:r>
          </w:p>
        </w:tc>
        <w:tc>
          <w:tcPr>
            <w:tcW w:w="850" w:type="dxa"/>
            <w:tcBorders>
              <w:top w:val="nil"/>
              <w:left w:val="nil"/>
              <w:bottom w:val="nil"/>
              <w:right w:val="nil"/>
            </w:tcBorders>
            <w:shd w:val="clear" w:color="000000" w:fill="FFFFFF"/>
            <w:noWrap/>
            <w:vAlign w:val="center"/>
            <w:hideMark/>
          </w:tcPr>
          <w:p w14:paraId="1F88F40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6.7</w:t>
            </w:r>
          </w:p>
        </w:tc>
        <w:tc>
          <w:tcPr>
            <w:tcW w:w="851" w:type="dxa"/>
            <w:tcBorders>
              <w:top w:val="nil"/>
              <w:left w:val="nil"/>
              <w:bottom w:val="nil"/>
              <w:right w:val="single" w:sz="8" w:space="0" w:color="auto"/>
            </w:tcBorders>
            <w:shd w:val="clear" w:color="000000" w:fill="FFFFFF"/>
            <w:noWrap/>
            <w:vAlign w:val="center"/>
            <w:hideMark/>
          </w:tcPr>
          <w:p w14:paraId="6405C3A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6.2</w:t>
            </w:r>
          </w:p>
        </w:tc>
      </w:tr>
      <w:tr w:rsidR="007C12C3" w:rsidRPr="00A92936" w14:paraId="3982C608" w14:textId="77777777" w:rsidTr="007C12C3">
        <w:trPr>
          <w:trHeight w:val="465"/>
          <w:jc w:val="center"/>
        </w:trPr>
        <w:tc>
          <w:tcPr>
            <w:tcW w:w="1008" w:type="dxa"/>
            <w:vMerge/>
            <w:tcBorders>
              <w:top w:val="nil"/>
              <w:left w:val="single" w:sz="8" w:space="0" w:color="auto"/>
              <w:bottom w:val="double" w:sz="6" w:space="0" w:color="000000"/>
              <w:right w:val="nil"/>
            </w:tcBorders>
            <w:vAlign w:val="center"/>
            <w:hideMark/>
          </w:tcPr>
          <w:p w14:paraId="7ACE97C7"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double" w:sz="6" w:space="0" w:color="auto"/>
              <w:right w:val="nil"/>
            </w:tcBorders>
            <w:shd w:val="clear" w:color="000000" w:fill="FFFFFF"/>
            <w:vAlign w:val="center"/>
            <w:hideMark/>
          </w:tcPr>
          <w:p w14:paraId="62A1A5C7"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819" w:type="dxa"/>
            <w:tcBorders>
              <w:top w:val="nil"/>
              <w:left w:val="single" w:sz="8" w:space="0" w:color="auto"/>
              <w:bottom w:val="double" w:sz="6" w:space="0" w:color="auto"/>
              <w:right w:val="nil"/>
            </w:tcBorders>
            <w:shd w:val="clear" w:color="000000" w:fill="FFFFFF"/>
            <w:noWrap/>
            <w:vAlign w:val="center"/>
            <w:hideMark/>
          </w:tcPr>
          <w:p w14:paraId="6E61A02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6.7</w:t>
            </w:r>
          </w:p>
        </w:tc>
        <w:tc>
          <w:tcPr>
            <w:tcW w:w="747" w:type="dxa"/>
            <w:tcBorders>
              <w:top w:val="nil"/>
              <w:left w:val="nil"/>
              <w:bottom w:val="double" w:sz="6" w:space="0" w:color="auto"/>
              <w:right w:val="nil"/>
            </w:tcBorders>
            <w:shd w:val="clear" w:color="000000" w:fill="FFFFFF"/>
            <w:noWrap/>
            <w:vAlign w:val="center"/>
            <w:hideMark/>
          </w:tcPr>
          <w:p w14:paraId="3248EDD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5.4</w:t>
            </w:r>
          </w:p>
        </w:tc>
        <w:tc>
          <w:tcPr>
            <w:tcW w:w="850" w:type="dxa"/>
            <w:tcBorders>
              <w:top w:val="nil"/>
              <w:left w:val="nil"/>
              <w:bottom w:val="double" w:sz="6" w:space="0" w:color="auto"/>
              <w:right w:val="nil"/>
            </w:tcBorders>
            <w:shd w:val="clear" w:color="000000" w:fill="FFFFFF"/>
            <w:noWrap/>
            <w:vAlign w:val="center"/>
            <w:hideMark/>
          </w:tcPr>
          <w:p w14:paraId="32D9925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5.5</w:t>
            </w:r>
          </w:p>
        </w:tc>
        <w:tc>
          <w:tcPr>
            <w:tcW w:w="851" w:type="dxa"/>
            <w:tcBorders>
              <w:top w:val="nil"/>
              <w:left w:val="nil"/>
              <w:bottom w:val="double" w:sz="6" w:space="0" w:color="auto"/>
              <w:right w:val="single" w:sz="8" w:space="0" w:color="auto"/>
            </w:tcBorders>
            <w:shd w:val="clear" w:color="000000" w:fill="FFFFFF"/>
            <w:noWrap/>
            <w:vAlign w:val="center"/>
            <w:hideMark/>
          </w:tcPr>
          <w:p w14:paraId="5FD0251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5.2</w:t>
            </w:r>
          </w:p>
        </w:tc>
        <w:tc>
          <w:tcPr>
            <w:tcW w:w="850" w:type="dxa"/>
            <w:tcBorders>
              <w:top w:val="nil"/>
              <w:left w:val="nil"/>
              <w:bottom w:val="double" w:sz="6" w:space="0" w:color="auto"/>
              <w:right w:val="nil"/>
            </w:tcBorders>
            <w:shd w:val="clear" w:color="000000" w:fill="FFFFFF"/>
            <w:noWrap/>
            <w:vAlign w:val="center"/>
            <w:hideMark/>
          </w:tcPr>
          <w:p w14:paraId="4F2CBFF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7.8</w:t>
            </w:r>
          </w:p>
        </w:tc>
        <w:tc>
          <w:tcPr>
            <w:tcW w:w="744" w:type="dxa"/>
            <w:tcBorders>
              <w:top w:val="nil"/>
              <w:left w:val="nil"/>
              <w:bottom w:val="double" w:sz="6" w:space="0" w:color="auto"/>
              <w:right w:val="nil"/>
            </w:tcBorders>
            <w:shd w:val="clear" w:color="000000" w:fill="FFFFFF"/>
            <w:noWrap/>
            <w:vAlign w:val="center"/>
            <w:hideMark/>
          </w:tcPr>
          <w:p w14:paraId="02CE7A2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7.0</w:t>
            </w:r>
          </w:p>
        </w:tc>
        <w:tc>
          <w:tcPr>
            <w:tcW w:w="850" w:type="dxa"/>
            <w:tcBorders>
              <w:top w:val="nil"/>
              <w:left w:val="nil"/>
              <w:bottom w:val="double" w:sz="6" w:space="0" w:color="auto"/>
              <w:right w:val="nil"/>
            </w:tcBorders>
            <w:shd w:val="clear" w:color="000000" w:fill="FFFFFF"/>
            <w:noWrap/>
            <w:vAlign w:val="center"/>
            <w:hideMark/>
          </w:tcPr>
          <w:p w14:paraId="4630B57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7.2</w:t>
            </w:r>
          </w:p>
        </w:tc>
        <w:tc>
          <w:tcPr>
            <w:tcW w:w="851" w:type="dxa"/>
            <w:tcBorders>
              <w:top w:val="nil"/>
              <w:left w:val="nil"/>
              <w:bottom w:val="double" w:sz="6" w:space="0" w:color="auto"/>
              <w:right w:val="single" w:sz="8" w:space="0" w:color="auto"/>
            </w:tcBorders>
            <w:shd w:val="clear" w:color="000000" w:fill="FFFFFF"/>
            <w:noWrap/>
            <w:vAlign w:val="center"/>
            <w:hideMark/>
          </w:tcPr>
          <w:p w14:paraId="55AF19E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7.0</w:t>
            </w:r>
          </w:p>
        </w:tc>
      </w:tr>
      <w:tr w:rsidR="007C12C3" w:rsidRPr="00A92936" w14:paraId="787471E2" w14:textId="77777777" w:rsidTr="007C12C3">
        <w:trPr>
          <w:trHeight w:val="270"/>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68F4036F"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jóvenes de 18 a 22 años</w:t>
            </w:r>
          </w:p>
        </w:tc>
        <w:tc>
          <w:tcPr>
            <w:tcW w:w="1244" w:type="dxa"/>
            <w:tcBorders>
              <w:top w:val="nil"/>
              <w:left w:val="nil"/>
              <w:bottom w:val="nil"/>
              <w:right w:val="nil"/>
            </w:tcBorders>
            <w:shd w:val="clear" w:color="000000" w:fill="FFFFFF"/>
            <w:vAlign w:val="center"/>
            <w:hideMark/>
          </w:tcPr>
          <w:p w14:paraId="7434B40E"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819" w:type="dxa"/>
            <w:tcBorders>
              <w:top w:val="nil"/>
              <w:left w:val="single" w:sz="8" w:space="0" w:color="auto"/>
              <w:bottom w:val="nil"/>
              <w:right w:val="nil"/>
            </w:tcBorders>
            <w:shd w:val="clear" w:color="000000" w:fill="FFFFFF"/>
            <w:noWrap/>
            <w:vAlign w:val="center"/>
            <w:hideMark/>
          </w:tcPr>
          <w:p w14:paraId="24EC6B2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5.5</w:t>
            </w:r>
          </w:p>
        </w:tc>
        <w:tc>
          <w:tcPr>
            <w:tcW w:w="747" w:type="dxa"/>
            <w:tcBorders>
              <w:top w:val="nil"/>
              <w:left w:val="nil"/>
              <w:bottom w:val="nil"/>
              <w:right w:val="nil"/>
            </w:tcBorders>
            <w:shd w:val="clear" w:color="000000" w:fill="FFFFFF"/>
            <w:noWrap/>
            <w:vAlign w:val="center"/>
            <w:hideMark/>
          </w:tcPr>
          <w:p w14:paraId="1CD7B0E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4.5</w:t>
            </w:r>
          </w:p>
        </w:tc>
        <w:tc>
          <w:tcPr>
            <w:tcW w:w="850" w:type="dxa"/>
            <w:tcBorders>
              <w:top w:val="nil"/>
              <w:left w:val="nil"/>
              <w:bottom w:val="nil"/>
              <w:right w:val="nil"/>
            </w:tcBorders>
            <w:shd w:val="clear" w:color="000000" w:fill="FFFFFF"/>
            <w:noWrap/>
            <w:vAlign w:val="center"/>
            <w:hideMark/>
          </w:tcPr>
          <w:p w14:paraId="19AB544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5.3</w:t>
            </w:r>
          </w:p>
        </w:tc>
        <w:tc>
          <w:tcPr>
            <w:tcW w:w="851" w:type="dxa"/>
            <w:tcBorders>
              <w:top w:val="nil"/>
              <w:left w:val="nil"/>
              <w:bottom w:val="nil"/>
              <w:right w:val="single" w:sz="8" w:space="0" w:color="auto"/>
            </w:tcBorders>
            <w:shd w:val="clear" w:color="000000" w:fill="FFFFFF"/>
            <w:noWrap/>
            <w:vAlign w:val="center"/>
            <w:hideMark/>
          </w:tcPr>
          <w:p w14:paraId="5CCE16D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4.7</w:t>
            </w:r>
          </w:p>
        </w:tc>
        <w:tc>
          <w:tcPr>
            <w:tcW w:w="850" w:type="dxa"/>
            <w:tcBorders>
              <w:top w:val="nil"/>
              <w:left w:val="nil"/>
              <w:bottom w:val="nil"/>
              <w:right w:val="nil"/>
            </w:tcBorders>
            <w:shd w:val="clear" w:color="000000" w:fill="FFFFFF"/>
            <w:noWrap/>
            <w:vAlign w:val="center"/>
            <w:hideMark/>
          </w:tcPr>
          <w:p w14:paraId="6950170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7.7</w:t>
            </w:r>
          </w:p>
        </w:tc>
        <w:tc>
          <w:tcPr>
            <w:tcW w:w="744" w:type="dxa"/>
            <w:tcBorders>
              <w:top w:val="nil"/>
              <w:left w:val="nil"/>
              <w:bottom w:val="nil"/>
              <w:right w:val="nil"/>
            </w:tcBorders>
            <w:shd w:val="clear" w:color="000000" w:fill="FFFFFF"/>
            <w:noWrap/>
            <w:vAlign w:val="center"/>
            <w:hideMark/>
          </w:tcPr>
          <w:p w14:paraId="408FE28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6.8</w:t>
            </w:r>
          </w:p>
        </w:tc>
        <w:tc>
          <w:tcPr>
            <w:tcW w:w="850" w:type="dxa"/>
            <w:tcBorders>
              <w:top w:val="nil"/>
              <w:left w:val="nil"/>
              <w:bottom w:val="nil"/>
              <w:right w:val="nil"/>
            </w:tcBorders>
            <w:shd w:val="clear" w:color="000000" w:fill="FFFFFF"/>
            <w:noWrap/>
            <w:vAlign w:val="center"/>
            <w:hideMark/>
          </w:tcPr>
          <w:p w14:paraId="6AF201F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7.3</w:t>
            </w:r>
          </w:p>
        </w:tc>
        <w:tc>
          <w:tcPr>
            <w:tcW w:w="851" w:type="dxa"/>
            <w:tcBorders>
              <w:top w:val="nil"/>
              <w:left w:val="nil"/>
              <w:bottom w:val="nil"/>
              <w:right w:val="single" w:sz="8" w:space="0" w:color="auto"/>
            </w:tcBorders>
            <w:shd w:val="clear" w:color="000000" w:fill="FFFFFF"/>
            <w:noWrap/>
            <w:vAlign w:val="center"/>
            <w:hideMark/>
          </w:tcPr>
          <w:p w14:paraId="6143933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6.9</w:t>
            </w:r>
          </w:p>
        </w:tc>
      </w:tr>
      <w:tr w:rsidR="007C12C3" w:rsidRPr="00A92936" w14:paraId="2C11A7E0"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2641EC6E"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4A17FF38"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819" w:type="dxa"/>
            <w:tcBorders>
              <w:top w:val="nil"/>
              <w:left w:val="single" w:sz="8" w:space="0" w:color="auto"/>
              <w:bottom w:val="nil"/>
              <w:right w:val="nil"/>
            </w:tcBorders>
            <w:shd w:val="clear" w:color="000000" w:fill="FFFFFF"/>
            <w:noWrap/>
            <w:vAlign w:val="center"/>
            <w:hideMark/>
          </w:tcPr>
          <w:p w14:paraId="15A6D73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4.3</w:t>
            </w:r>
          </w:p>
        </w:tc>
        <w:tc>
          <w:tcPr>
            <w:tcW w:w="747" w:type="dxa"/>
            <w:tcBorders>
              <w:top w:val="nil"/>
              <w:left w:val="nil"/>
              <w:bottom w:val="nil"/>
              <w:right w:val="nil"/>
            </w:tcBorders>
            <w:shd w:val="clear" w:color="000000" w:fill="FFFFFF"/>
            <w:noWrap/>
            <w:vAlign w:val="center"/>
            <w:hideMark/>
          </w:tcPr>
          <w:p w14:paraId="3C9B4AF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3.0</w:t>
            </w:r>
          </w:p>
        </w:tc>
        <w:tc>
          <w:tcPr>
            <w:tcW w:w="850" w:type="dxa"/>
            <w:tcBorders>
              <w:top w:val="nil"/>
              <w:left w:val="nil"/>
              <w:bottom w:val="nil"/>
              <w:right w:val="nil"/>
            </w:tcBorders>
            <w:shd w:val="clear" w:color="000000" w:fill="FFFFFF"/>
            <w:noWrap/>
            <w:vAlign w:val="center"/>
            <w:hideMark/>
          </w:tcPr>
          <w:p w14:paraId="2C970A5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4.4</w:t>
            </w:r>
          </w:p>
        </w:tc>
        <w:tc>
          <w:tcPr>
            <w:tcW w:w="851" w:type="dxa"/>
            <w:tcBorders>
              <w:top w:val="nil"/>
              <w:left w:val="nil"/>
              <w:bottom w:val="nil"/>
              <w:right w:val="single" w:sz="8" w:space="0" w:color="auto"/>
            </w:tcBorders>
            <w:shd w:val="clear" w:color="000000" w:fill="FFFFFF"/>
            <w:noWrap/>
            <w:vAlign w:val="center"/>
            <w:hideMark/>
          </w:tcPr>
          <w:p w14:paraId="3973AE8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3.4</w:t>
            </w:r>
          </w:p>
        </w:tc>
        <w:tc>
          <w:tcPr>
            <w:tcW w:w="850" w:type="dxa"/>
            <w:tcBorders>
              <w:top w:val="nil"/>
              <w:left w:val="nil"/>
              <w:bottom w:val="nil"/>
              <w:right w:val="nil"/>
            </w:tcBorders>
            <w:shd w:val="clear" w:color="000000" w:fill="FFFFFF"/>
            <w:noWrap/>
            <w:vAlign w:val="center"/>
            <w:hideMark/>
          </w:tcPr>
          <w:p w14:paraId="25FC2AF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4.7</w:t>
            </w:r>
          </w:p>
        </w:tc>
        <w:tc>
          <w:tcPr>
            <w:tcW w:w="744" w:type="dxa"/>
            <w:tcBorders>
              <w:top w:val="nil"/>
              <w:left w:val="nil"/>
              <w:bottom w:val="nil"/>
              <w:right w:val="nil"/>
            </w:tcBorders>
            <w:shd w:val="clear" w:color="000000" w:fill="FFFFFF"/>
            <w:noWrap/>
            <w:vAlign w:val="center"/>
            <w:hideMark/>
          </w:tcPr>
          <w:p w14:paraId="560A2EF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4.0</w:t>
            </w:r>
          </w:p>
        </w:tc>
        <w:tc>
          <w:tcPr>
            <w:tcW w:w="850" w:type="dxa"/>
            <w:tcBorders>
              <w:top w:val="nil"/>
              <w:left w:val="nil"/>
              <w:bottom w:val="nil"/>
              <w:right w:val="nil"/>
            </w:tcBorders>
            <w:shd w:val="clear" w:color="000000" w:fill="FFFFFF"/>
            <w:noWrap/>
            <w:vAlign w:val="center"/>
            <w:hideMark/>
          </w:tcPr>
          <w:p w14:paraId="5FB8614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5.4</w:t>
            </w:r>
          </w:p>
        </w:tc>
        <w:tc>
          <w:tcPr>
            <w:tcW w:w="851" w:type="dxa"/>
            <w:tcBorders>
              <w:top w:val="nil"/>
              <w:left w:val="nil"/>
              <w:bottom w:val="nil"/>
              <w:right w:val="single" w:sz="8" w:space="0" w:color="auto"/>
            </w:tcBorders>
            <w:shd w:val="clear" w:color="000000" w:fill="FFFFFF"/>
            <w:noWrap/>
            <w:vAlign w:val="center"/>
            <w:hideMark/>
          </w:tcPr>
          <w:p w14:paraId="3F79507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4.6</w:t>
            </w:r>
          </w:p>
        </w:tc>
      </w:tr>
      <w:tr w:rsidR="007C12C3" w:rsidRPr="00A92936" w14:paraId="2F0EA3E9"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3C61F565"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1510064D"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819" w:type="dxa"/>
            <w:tcBorders>
              <w:top w:val="nil"/>
              <w:left w:val="single" w:sz="8" w:space="0" w:color="auto"/>
              <w:bottom w:val="nil"/>
              <w:right w:val="nil"/>
            </w:tcBorders>
            <w:shd w:val="clear" w:color="000000" w:fill="FFFFFF"/>
            <w:noWrap/>
            <w:vAlign w:val="center"/>
            <w:hideMark/>
          </w:tcPr>
          <w:p w14:paraId="22CE6CF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5.1</w:t>
            </w:r>
          </w:p>
        </w:tc>
        <w:tc>
          <w:tcPr>
            <w:tcW w:w="747" w:type="dxa"/>
            <w:tcBorders>
              <w:top w:val="nil"/>
              <w:left w:val="nil"/>
              <w:bottom w:val="nil"/>
              <w:right w:val="nil"/>
            </w:tcBorders>
            <w:shd w:val="clear" w:color="000000" w:fill="FFFFFF"/>
            <w:noWrap/>
            <w:vAlign w:val="center"/>
            <w:hideMark/>
          </w:tcPr>
          <w:p w14:paraId="643669D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4.0</w:t>
            </w:r>
          </w:p>
        </w:tc>
        <w:tc>
          <w:tcPr>
            <w:tcW w:w="850" w:type="dxa"/>
            <w:tcBorders>
              <w:top w:val="nil"/>
              <w:left w:val="nil"/>
              <w:bottom w:val="nil"/>
              <w:right w:val="nil"/>
            </w:tcBorders>
            <w:shd w:val="clear" w:color="000000" w:fill="FFFFFF"/>
            <w:noWrap/>
            <w:vAlign w:val="center"/>
            <w:hideMark/>
          </w:tcPr>
          <w:p w14:paraId="168816F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5.0</w:t>
            </w:r>
          </w:p>
        </w:tc>
        <w:tc>
          <w:tcPr>
            <w:tcW w:w="851" w:type="dxa"/>
            <w:tcBorders>
              <w:top w:val="nil"/>
              <w:left w:val="nil"/>
              <w:bottom w:val="nil"/>
              <w:right w:val="single" w:sz="8" w:space="0" w:color="auto"/>
            </w:tcBorders>
            <w:shd w:val="clear" w:color="000000" w:fill="FFFFFF"/>
            <w:noWrap/>
            <w:vAlign w:val="center"/>
            <w:hideMark/>
          </w:tcPr>
          <w:p w14:paraId="7DE670E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4.3</w:t>
            </w:r>
          </w:p>
        </w:tc>
        <w:tc>
          <w:tcPr>
            <w:tcW w:w="850" w:type="dxa"/>
            <w:tcBorders>
              <w:top w:val="nil"/>
              <w:left w:val="nil"/>
              <w:bottom w:val="nil"/>
              <w:right w:val="nil"/>
            </w:tcBorders>
            <w:shd w:val="clear" w:color="000000" w:fill="FFFFFF"/>
            <w:noWrap/>
            <w:vAlign w:val="center"/>
            <w:hideMark/>
          </w:tcPr>
          <w:p w14:paraId="0C861FF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6.2</w:t>
            </w:r>
          </w:p>
        </w:tc>
        <w:tc>
          <w:tcPr>
            <w:tcW w:w="744" w:type="dxa"/>
            <w:tcBorders>
              <w:top w:val="nil"/>
              <w:left w:val="nil"/>
              <w:bottom w:val="nil"/>
              <w:right w:val="nil"/>
            </w:tcBorders>
            <w:shd w:val="clear" w:color="000000" w:fill="FFFFFF"/>
            <w:noWrap/>
            <w:vAlign w:val="center"/>
            <w:hideMark/>
          </w:tcPr>
          <w:p w14:paraId="10851CA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5.5</w:t>
            </w:r>
          </w:p>
        </w:tc>
        <w:tc>
          <w:tcPr>
            <w:tcW w:w="850" w:type="dxa"/>
            <w:tcBorders>
              <w:top w:val="nil"/>
              <w:left w:val="nil"/>
              <w:bottom w:val="nil"/>
              <w:right w:val="nil"/>
            </w:tcBorders>
            <w:shd w:val="clear" w:color="000000" w:fill="FFFFFF"/>
            <w:noWrap/>
            <w:vAlign w:val="center"/>
            <w:hideMark/>
          </w:tcPr>
          <w:p w14:paraId="5DA9D96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6.6</w:t>
            </w:r>
          </w:p>
        </w:tc>
        <w:tc>
          <w:tcPr>
            <w:tcW w:w="851" w:type="dxa"/>
            <w:tcBorders>
              <w:top w:val="nil"/>
              <w:left w:val="nil"/>
              <w:bottom w:val="nil"/>
              <w:right w:val="single" w:sz="8" w:space="0" w:color="auto"/>
            </w:tcBorders>
            <w:shd w:val="clear" w:color="000000" w:fill="FFFFFF"/>
            <w:noWrap/>
            <w:vAlign w:val="center"/>
            <w:hideMark/>
          </w:tcPr>
          <w:p w14:paraId="5807673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5.9</w:t>
            </w:r>
          </w:p>
        </w:tc>
      </w:tr>
      <w:tr w:rsidR="007C12C3" w:rsidRPr="00A92936" w14:paraId="35791FD4"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5FB2E4B4"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nil"/>
              <w:right w:val="nil"/>
            </w:tcBorders>
            <w:shd w:val="clear" w:color="000000" w:fill="FFFFFF"/>
            <w:vAlign w:val="center"/>
            <w:hideMark/>
          </w:tcPr>
          <w:p w14:paraId="6CFCBD08"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819" w:type="dxa"/>
            <w:tcBorders>
              <w:top w:val="nil"/>
              <w:left w:val="single" w:sz="8" w:space="0" w:color="auto"/>
              <w:bottom w:val="nil"/>
              <w:right w:val="nil"/>
            </w:tcBorders>
            <w:shd w:val="clear" w:color="000000" w:fill="FFFFFF"/>
            <w:noWrap/>
            <w:vAlign w:val="center"/>
            <w:hideMark/>
          </w:tcPr>
          <w:p w14:paraId="36ECCE7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5.4</w:t>
            </w:r>
          </w:p>
        </w:tc>
        <w:tc>
          <w:tcPr>
            <w:tcW w:w="747" w:type="dxa"/>
            <w:tcBorders>
              <w:top w:val="nil"/>
              <w:left w:val="nil"/>
              <w:bottom w:val="nil"/>
              <w:right w:val="nil"/>
            </w:tcBorders>
            <w:shd w:val="clear" w:color="000000" w:fill="FFFFFF"/>
            <w:noWrap/>
            <w:vAlign w:val="center"/>
            <w:hideMark/>
          </w:tcPr>
          <w:p w14:paraId="35B9C77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4.7</w:t>
            </w:r>
          </w:p>
        </w:tc>
        <w:tc>
          <w:tcPr>
            <w:tcW w:w="850" w:type="dxa"/>
            <w:tcBorders>
              <w:top w:val="nil"/>
              <w:left w:val="nil"/>
              <w:bottom w:val="nil"/>
              <w:right w:val="nil"/>
            </w:tcBorders>
            <w:shd w:val="clear" w:color="000000" w:fill="FFFFFF"/>
            <w:noWrap/>
            <w:vAlign w:val="center"/>
            <w:hideMark/>
          </w:tcPr>
          <w:p w14:paraId="3325A2A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5.6</w:t>
            </w:r>
          </w:p>
        </w:tc>
        <w:tc>
          <w:tcPr>
            <w:tcW w:w="851" w:type="dxa"/>
            <w:tcBorders>
              <w:top w:val="nil"/>
              <w:left w:val="nil"/>
              <w:bottom w:val="nil"/>
              <w:right w:val="single" w:sz="8" w:space="0" w:color="auto"/>
            </w:tcBorders>
            <w:shd w:val="clear" w:color="000000" w:fill="FFFFFF"/>
            <w:noWrap/>
            <w:vAlign w:val="center"/>
            <w:hideMark/>
          </w:tcPr>
          <w:p w14:paraId="45DCCD2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5.0</w:t>
            </w:r>
          </w:p>
        </w:tc>
        <w:tc>
          <w:tcPr>
            <w:tcW w:w="850" w:type="dxa"/>
            <w:tcBorders>
              <w:top w:val="nil"/>
              <w:left w:val="nil"/>
              <w:bottom w:val="nil"/>
              <w:right w:val="nil"/>
            </w:tcBorders>
            <w:shd w:val="clear" w:color="000000" w:fill="FFFFFF"/>
            <w:noWrap/>
            <w:vAlign w:val="center"/>
            <w:hideMark/>
          </w:tcPr>
          <w:p w14:paraId="42B6789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7.0</w:t>
            </w:r>
          </w:p>
        </w:tc>
        <w:tc>
          <w:tcPr>
            <w:tcW w:w="744" w:type="dxa"/>
            <w:tcBorders>
              <w:top w:val="nil"/>
              <w:left w:val="nil"/>
              <w:bottom w:val="nil"/>
              <w:right w:val="nil"/>
            </w:tcBorders>
            <w:shd w:val="clear" w:color="000000" w:fill="FFFFFF"/>
            <w:noWrap/>
            <w:vAlign w:val="center"/>
            <w:hideMark/>
          </w:tcPr>
          <w:p w14:paraId="6D3D915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6.3</w:t>
            </w:r>
          </w:p>
        </w:tc>
        <w:tc>
          <w:tcPr>
            <w:tcW w:w="850" w:type="dxa"/>
            <w:tcBorders>
              <w:top w:val="nil"/>
              <w:left w:val="nil"/>
              <w:bottom w:val="nil"/>
              <w:right w:val="nil"/>
            </w:tcBorders>
            <w:shd w:val="clear" w:color="000000" w:fill="FFFFFF"/>
            <w:noWrap/>
            <w:vAlign w:val="center"/>
            <w:hideMark/>
          </w:tcPr>
          <w:p w14:paraId="6DFCEDC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7.1</w:t>
            </w:r>
          </w:p>
        </w:tc>
        <w:tc>
          <w:tcPr>
            <w:tcW w:w="851" w:type="dxa"/>
            <w:tcBorders>
              <w:top w:val="nil"/>
              <w:left w:val="nil"/>
              <w:bottom w:val="nil"/>
              <w:right w:val="single" w:sz="8" w:space="0" w:color="auto"/>
            </w:tcBorders>
            <w:shd w:val="clear" w:color="000000" w:fill="FFFFFF"/>
            <w:noWrap/>
            <w:vAlign w:val="center"/>
            <w:hideMark/>
          </w:tcPr>
          <w:p w14:paraId="1B3AAFD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6.8</w:t>
            </w:r>
          </w:p>
        </w:tc>
      </w:tr>
      <w:tr w:rsidR="007C12C3" w:rsidRPr="00A92936" w14:paraId="2F54D00B" w14:textId="77777777" w:rsidTr="007C12C3">
        <w:trPr>
          <w:trHeight w:val="465"/>
          <w:jc w:val="center"/>
        </w:trPr>
        <w:tc>
          <w:tcPr>
            <w:tcW w:w="1008" w:type="dxa"/>
            <w:vMerge/>
            <w:tcBorders>
              <w:top w:val="nil"/>
              <w:left w:val="single" w:sz="8" w:space="0" w:color="auto"/>
              <w:bottom w:val="double" w:sz="6" w:space="0" w:color="000000"/>
              <w:right w:val="nil"/>
            </w:tcBorders>
            <w:vAlign w:val="center"/>
            <w:hideMark/>
          </w:tcPr>
          <w:p w14:paraId="02C6D57F"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44" w:type="dxa"/>
            <w:tcBorders>
              <w:top w:val="nil"/>
              <w:left w:val="nil"/>
              <w:bottom w:val="double" w:sz="6" w:space="0" w:color="auto"/>
              <w:right w:val="nil"/>
            </w:tcBorders>
            <w:shd w:val="clear" w:color="000000" w:fill="FFFFFF"/>
            <w:vAlign w:val="center"/>
            <w:hideMark/>
          </w:tcPr>
          <w:p w14:paraId="20F91592"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819" w:type="dxa"/>
            <w:tcBorders>
              <w:top w:val="nil"/>
              <w:left w:val="single" w:sz="8" w:space="0" w:color="auto"/>
              <w:bottom w:val="double" w:sz="6" w:space="0" w:color="auto"/>
              <w:right w:val="nil"/>
            </w:tcBorders>
            <w:shd w:val="clear" w:color="000000" w:fill="FFFFFF"/>
            <w:noWrap/>
            <w:vAlign w:val="center"/>
            <w:hideMark/>
          </w:tcPr>
          <w:p w14:paraId="0EBD50D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6.1</w:t>
            </w:r>
          </w:p>
        </w:tc>
        <w:tc>
          <w:tcPr>
            <w:tcW w:w="747" w:type="dxa"/>
            <w:tcBorders>
              <w:top w:val="nil"/>
              <w:left w:val="nil"/>
              <w:bottom w:val="double" w:sz="6" w:space="0" w:color="auto"/>
              <w:right w:val="nil"/>
            </w:tcBorders>
            <w:shd w:val="clear" w:color="000000" w:fill="FFFFFF"/>
            <w:noWrap/>
            <w:vAlign w:val="center"/>
            <w:hideMark/>
          </w:tcPr>
          <w:p w14:paraId="0FD4226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5.6</w:t>
            </w:r>
          </w:p>
        </w:tc>
        <w:tc>
          <w:tcPr>
            <w:tcW w:w="850" w:type="dxa"/>
            <w:tcBorders>
              <w:top w:val="nil"/>
              <w:left w:val="nil"/>
              <w:bottom w:val="double" w:sz="6" w:space="0" w:color="auto"/>
              <w:right w:val="nil"/>
            </w:tcBorders>
            <w:shd w:val="clear" w:color="000000" w:fill="FFFFFF"/>
            <w:noWrap/>
            <w:vAlign w:val="center"/>
            <w:hideMark/>
          </w:tcPr>
          <w:p w14:paraId="583977E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5.8</w:t>
            </w:r>
          </w:p>
        </w:tc>
        <w:tc>
          <w:tcPr>
            <w:tcW w:w="851" w:type="dxa"/>
            <w:tcBorders>
              <w:top w:val="nil"/>
              <w:left w:val="nil"/>
              <w:bottom w:val="double" w:sz="6" w:space="0" w:color="auto"/>
              <w:right w:val="single" w:sz="8" w:space="0" w:color="auto"/>
            </w:tcBorders>
            <w:shd w:val="clear" w:color="000000" w:fill="FFFFFF"/>
            <w:noWrap/>
            <w:vAlign w:val="center"/>
            <w:hideMark/>
          </w:tcPr>
          <w:p w14:paraId="2FB9BD9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5.7</w:t>
            </w:r>
          </w:p>
        </w:tc>
        <w:tc>
          <w:tcPr>
            <w:tcW w:w="850" w:type="dxa"/>
            <w:tcBorders>
              <w:top w:val="nil"/>
              <w:left w:val="nil"/>
              <w:bottom w:val="double" w:sz="6" w:space="0" w:color="auto"/>
              <w:right w:val="nil"/>
            </w:tcBorders>
            <w:shd w:val="clear" w:color="000000" w:fill="FFFFFF"/>
            <w:noWrap/>
            <w:vAlign w:val="center"/>
            <w:hideMark/>
          </w:tcPr>
          <w:p w14:paraId="03AC5B6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8.3</w:t>
            </w:r>
          </w:p>
        </w:tc>
        <w:tc>
          <w:tcPr>
            <w:tcW w:w="744" w:type="dxa"/>
            <w:tcBorders>
              <w:top w:val="nil"/>
              <w:left w:val="nil"/>
              <w:bottom w:val="double" w:sz="6" w:space="0" w:color="auto"/>
              <w:right w:val="nil"/>
            </w:tcBorders>
            <w:shd w:val="clear" w:color="000000" w:fill="FFFFFF"/>
            <w:noWrap/>
            <w:vAlign w:val="center"/>
            <w:hideMark/>
          </w:tcPr>
          <w:p w14:paraId="063B1B5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7.5</w:t>
            </w:r>
          </w:p>
        </w:tc>
        <w:tc>
          <w:tcPr>
            <w:tcW w:w="850" w:type="dxa"/>
            <w:tcBorders>
              <w:top w:val="nil"/>
              <w:left w:val="nil"/>
              <w:bottom w:val="double" w:sz="6" w:space="0" w:color="auto"/>
              <w:right w:val="nil"/>
            </w:tcBorders>
            <w:shd w:val="clear" w:color="000000" w:fill="FFFFFF"/>
            <w:noWrap/>
            <w:vAlign w:val="center"/>
            <w:hideMark/>
          </w:tcPr>
          <w:p w14:paraId="2494B6C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7.7</w:t>
            </w:r>
          </w:p>
        </w:tc>
        <w:tc>
          <w:tcPr>
            <w:tcW w:w="851" w:type="dxa"/>
            <w:tcBorders>
              <w:top w:val="nil"/>
              <w:left w:val="nil"/>
              <w:bottom w:val="double" w:sz="6" w:space="0" w:color="auto"/>
              <w:right w:val="single" w:sz="8" w:space="0" w:color="auto"/>
            </w:tcBorders>
            <w:shd w:val="clear" w:color="000000" w:fill="FFFFFF"/>
            <w:noWrap/>
            <w:vAlign w:val="center"/>
            <w:hideMark/>
          </w:tcPr>
          <w:p w14:paraId="7835499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7.6</w:t>
            </w:r>
          </w:p>
        </w:tc>
      </w:tr>
      <w:tr w:rsidR="00A92936" w:rsidRPr="00A92936" w14:paraId="028EEE8B" w14:textId="77777777" w:rsidTr="007C12C3">
        <w:trPr>
          <w:trHeight w:val="270"/>
          <w:jc w:val="center"/>
        </w:trPr>
        <w:tc>
          <w:tcPr>
            <w:tcW w:w="7113" w:type="dxa"/>
            <w:gridSpan w:val="8"/>
            <w:tcBorders>
              <w:top w:val="nil"/>
              <w:left w:val="nil"/>
              <w:bottom w:val="nil"/>
              <w:right w:val="nil"/>
            </w:tcBorders>
            <w:shd w:val="clear" w:color="000000" w:fill="FFFFFF"/>
            <w:noWrap/>
            <w:vAlign w:val="bottom"/>
            <w:hideMark/>
          </w:tcPr>
          <w:p w14:paraId="63BDF3A9"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Fuente: Elaboración propia a partir de los microdatos de los Censos de Población y Vivienda de 2000, 2010 y Encuesta Intercensal 2015</w:t>
            </w:r>
          </w:p>
        </w:tc>
        <w:tc>
          <w:tcPr>
            <w:tcW w:w="850" w:type="dxa"/>
            <w:tcBorders>
              <w:top w:val="nil"/>
              <w:left w:val="nil"/>
              <w:bottom w:val="nil"/>
              <w:right w:val="nil"/>
            </w:tcBorders>
            <w:shd w:val="clear" w:color="000000" w:fill="FFFFFF"/>
            <w:noWrap/>
            <w:vAlign w:val="bottom"/>
            <w:hideMark/>
          </w:tcPr>
          <w:p w14:paraId="0939870B"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 </w:t>
            </w:r>
          </w:p>
        </w:tc>
        <w:tc>
          <w:tcPr>
            <w:tcW w:w="851" w:type="dxa"/>
            <w:tcBorders>
              <w:top w:val="nil"/>
              <w:left w:val="nil"/>
              <w:bottom w:val="nil"/>
              <w:right w:val="nil"/>
            </w:tcBorders>
            <w:shd w:val="clear" w:color="000000" w:fill="FFFFFF"/>
            <w:noWrap/>
            <w:vAlign w:val="bottom"/>
            <w:hideMark/>
          </w:tcPr>
          <w:p w14:paraId="7EFE7301"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 </w:t>
            </w:r>
          </w:p>
        </w:tc>
      </w:tr>
    </w:tbl>
    <w:p w14:paraId="65B4B266" w14:textId="1780A1A5" w:rsidR="009C2AD7" w:rsidRDefault="00312D99" w:rsidP="00651FFC">
      <w:pPr>
        <w:spacing w:before="240" w:after="24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Finalmente, </w:t>
      </w:r>
      <w:r w:rsidR="00A554CB">
        <w:rPr>
          <w:rFonts w:ascii="Times New Roman" w:eastAsia="Times New Roman" w:hAnsi="Times New Roman" w:cs="Times New Roman"/>
          <w:sz w:val="24"/>
          <w:szCs w:val="24"/>
          <w:lang w:eastAsia="es-MX"/>
        </w:rPr>
        <w:t xml:space="preserve">y como ya veníamos viendo respecto al ingreso de los retornados, el capital económico es un factor que </w:t>
      </w:r>
      <w:r w:rsidR="0036612F">
        <w:rPr>
          <w:rFonts w:ascii="Times New Roman" w:eastAsia="Times New Roman" w:hAnsi="Times New Roman" w:cs="Times New Roman"/>
          <w:sz w:val="24"/>
          <w:szCs w:val="24"/>
          <w:lang w:eastAsia="es-MX"/>
        </w:rPr>
        <w:t>contribuye a que los hijos de los retornados asistan a la escuela</w:t>
      </w:r>
      <w:r w:rsidR="00FB0F44">
        <w:rPr>
          <w:rFonts w:ascii="Times New Roman" w:eastAsia="Times New Roman" w:hAnsi="Times New Roman" w:cs="Times New Roman"/>
          <w:sz w:val="24"/>
          <w:szCs w:val="24"/>
          <w:lang w:eastAsia="es-MX"/>
        </w:rPr>
        <w:t xml:space="preserve">. Aquellos que cuentan con </w:t>
      </w:r>
      <w:r w:rsidR="00070E93">
        <w:rPr>
          <w:rFonts w:ascii="Times New Roman" w:eastAsia="Times New Roman" w:hAnsi="Times New Roman" w:cs="Times New Roman"/>
          <w:sz w:val="24"/>
          <w:szCs w:val="24"/>
          <w:lang w:eastAsia="es-MX"/>
        </w:rPr>
        <w:t>mayores ingresos, tienen mayor propensión a enviar a sus hijos a la escuela</w:t>
      </w:r>
      <w:r w:rsidR="0069284D">
        <w:rPr>
          <w:rFonts w:ascii="Times New Roman" w:eastAsia="Times New Roman" w:hAnsi="Times New Roman" w:cs="Times New Roman"/>
          <w:sz w:val="24"/>
          <w:szCs w:val="24"/>
          <w:lang w:eastAsia="es-MX"/>
        </w:rPr>
        <w:t xml:space="preserve"> (ver tabla 6).</w:t>
      </w:r>
    </w:p>
    <w:p w14:paraId="3CC5F3B5" w14:textId="11234C82"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123AE455" w14:textId="785640D4"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20020ED0" w14:textId="09FEF68A"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1544CFB9" w14:textId="0BE1998B"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68CC18D9" w14:textId="78E2353D"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19216165" w14:textId="30A21976"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55B79F6E" w14:textId="006C1775"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4DCC8479" w14:textId="3A02ECCD"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1D43476C" w14:textId="3917B0A2"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5CE00BBE" w14:textId="1A2F7083"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28FC0810" w14:textId="67CE29AC"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6B219FD8" w14:textId="03FE250C"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47DFEF56" w14:textId="74ED95FF"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p w14:paraId="313ABA55" w14:textId="77777777" w:rsidR="005A17FA" w:rsidRDefault="005A17FA" w:rsidP="00651FFC">
      <w:pPr>
        <w:spacing w:before="240" w:after="240" w:line="360" w:lineRule="auto"/>
        <w:jc w:val="both"/>
        <w:rPr>
          <w:rFonts w:ascii="Times New Roman" w:eastAsia="Times New Roman" w:hAnsi="Times New Roman" w:cs="Times New Roman"/>
          <w:sz w:val="24"/>
          <w:szCs w:val="24"/>
          <w:lang w:eastAsia="es-MX"/>
        </w:rPr>
      </w:pPr>
    </w:p>
    <w:tbl>
      <w:tblPr>
        <w:tblW w:w="9523" w:type="dxa"/>
        <w:jc w:val="center"/>
        <w:tblCellMar>
          <w:left w:w="70" w:type="dxa"/>
          <w:right w:w="70" w:type="dxa"/>
        </w:tblCellMar>
        <w:tblLook w:val="04A0" w:firstRow="1" w:lastRow="0" w:firstColumn="1" w:lastColumn="0" w:noHBand="0" w:noVBand="1"/>
      </w:tblPr>
      <w:tblGrid>
        <w:gridCol w:w="1008"/>
        <w:gridCol w:w="1817"/>
        <w:gridCol w:w="1231"/>
        <w:gridCol w:w="744"/>
        <w:gridCol w:w="813"/>
        <w:gridCol w:w="755"/>
        <w:gridCol w:w="813"/>
        <w:gridCol w:w="747"/>
        <w:gridCol w:w="851"/>
        <w:gridCol w:w="744"/>
      </w:tblGrid>
      <w:tr w:rsidR="00A92936" w:rsidRPr="00A92936" w14:paraId="70E4FE68" w14:textId="77777777" w:rsidTr="00AD40BF">
        <w:trPr>
          <w:trHeight w:val="753"/>
          <w:jc w:val="center"/>
        </w:trPr>
        <w:tc>
          <w:tcPr>
            <w:tcW w:w="9523" w:type="dxa"/>
            <w:gridSpan w:val="10"/>
            <w:tcBorders>
              <w:top w:val="single" w:sz="8" w:space="0" w:color="auto"/>
              <w:left w:val="single" w:sz="8" w:space="0" w:color="auto"/>
              <w:bottom w:val="double" w:sz="6" w:space="0" w:color="auto"/>
              <w:right w:val="single" w:sz="8" w:space="0" w:color="000000"/>
            </w:tcBorders>
            <w:shd w:val="clear" w:color="000000" w:fill="FFFFFF"/>
            <w:vAlign w:val="center"/>
            <w:hideMark/>
          </w:tcPr>
          <w:p w14:paraId="616EC0BD" w14:textId="77777777" w:rsidR="00A92936" w:rsidRPr="00AD40BF" w:rsidRDefault="00A92936" w:rsidP="00A92936">
            <w:pPr>
              <w:spacing w:after="0" w:line="240" w:lineRule="auto"/>
              <w:jc w:val="center"/>
              <w:rPr>
                <w:rFonts w:ascii="Calibri" w:eastAsia="Times New Roman" w:hAnsi="Calibri" w:cs="Calibri"/>
                <w:b/>
                <w:bCs/>
                <w:sz w:val="24"/>
                <w:szCs w:val="24"/>
                <w:lang w:eastAsia="es-MX"/>
              </w:rPr>
            </w:pPr>
            <w:r w:rsidRPr="00AD40BF">
              <w:rPr>
                <w:rFonts w:ascii="Calibri" w:eastAsia="Times New Roman" w:hAnsi="Calibri" w:cs="Calibri"/>
                <w:b/>
                <w:bCs/>
                <w:sz w:val="24"/>
                <w:szCs w:val="24"/>
                <w:lang w:eastAsia="es-MX"/>
              </w:rPr>
              <w:lastRenderedPageBreak/>
              <w:t>Tabla 6. Medias de capital económico (salarios mínimos mensuales) de hogares según asistencia escolar de hijos por edad, Nacional y tamaños de localidad, México 2000 y 2015</w:t>
            </w:r>
          </w:p>
        </w:tc>
      </w:tr>
      <w:tr w:rsidR="00A92936" w:rsidRPr="00A92936" w14:paraId="58BDAE58" w14:textId="77777777" w:rsidTr="007C12C3">
        <w:trPr>
          <w:trHeight w:val="285"/>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1C00BD44"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Tipo de hogar según edad de los hijos</w:t>
            </w:r>
          </w:p>
        </w:tc>
        <w:tc>
          <w:tcPr>
            <w:tcW w:w="1817" w:type="dxa"/>
            <w:vMerge w:val="restart"/>
            <w:tcBorders>
              <w:top w:val="nil"/>
              <w:left w:val="nil"/>
              <w:bottom w:val="double" w:sz="6" w:space="0" w:color="000000"/>
              <w:right w:val="nil"/>
            </w:tcBorders>
            <w:shd w:val="clear" w:color="000000" w:fill="FFFFFF"/>
            <w:vAlign w:val="center"/>
            <w:hideMark/>
          </w:tcPr>
          <w:p w14:paraId="63699951"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Tamaño de localidad</w:t>
            </w:r>
          </w:p>
        </w:tc>
        <w:tc>
          <w:tcPr>
            <w:tcW w:w="3543" w:type="dxa"/>
            <w:gridSpan w:val="4"/>
            <w:tcBorders>
              <w:top w:val="double" w:sz="6" w:space="0" w:color="auto"/>
              <w:left w:val="single" w:sz="8" w:space="0" w:color="auto"/>
              <w:bottom w:val="double" w:sz="6" w:space="0" w:color="auto"/>
              <w:right w:val="single" w:sz="8" w:space="0" w:color="000000"/>
            </w:tcBorders>
            <w:shd w:val="clear" w:color="000000" w:fill="FFFFFF"/>
            <w:vAlign w:val="center"/>
            <w:hideMark/>
          </w:tcPr>
          <w:p w14:paraId="652B9A6E"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que no asisten a la escuela</w:t>
            </w:r>
          </w:p>
        </w:tc>
        <w:tc>
          <w:tcPr>
            <w:tcW w:w="3155" w:type="dxa"/>
            <w:gridSpan w:val="4"/>
            <w:tcBorders>
              <w:top w:val="double" w:sz="6" w:space="0" w:color="auto"/>
              <w:left w:val="nil"/>
              <w:bottom w:val="double" w:sz="6" w:space="0" w:color="auto"/>
              <w:right w:val="single" w:sz="8" w:space="0" w:color="000000"/>
            </w:tcBorders>
            <w:shd w:val="clear" w:color="000000" w:fill="FFFFFF"/>
            <w:vAlign w:val="center"/>
            <w:hideMark/>
          </w:tcPr>
          <w:p w14:paraId="54D05E47"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que asisten a la escuela</w:t>
            </w:r>
          </w:p>
        </w:tc>
      </w:tr>
      <w:tr w:rsidR="00A92936" w:rsidRPr="00A92936" w14:paraId="57BF2FB3" w14:textId="77777777" w:rsidTr="007C12C3">
        <w:trPr>
          <w:trHeight w:val="285"/>
          <w:jc w:val="center"/>
        </w:trPr>
        <w:tc>
          <w:tcPr>
            <w:tcW w:w="1008" w:type="dxa"/>
            <w:vMerge/>
            <w:tcBorders>
              <w:top w:val="nil"/>
              <w:left w:val="single" w:sz="8" w:space="0" w:color="auto"/>
              <w:bottom w:val="double" w:sz="6" w:space="0" w:color="000000"/>
              <w:right w:val="nil"/>
            </w:tcBorders>
            <w:vAlign w:val="center"/>
            <w:hideMark/>
          </w:tcPr>
          <w:p w14:paraId="7FD65D07"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vMerge/>
            <w:tcBorders>
              <w:top w:val="nil"/>
              <w:left w:val="nil"/>
              <w:bottom w:val="double" w:sz="6" w:space="0" w:color="000000"/>
              <w:right w:val="nil"/>
            </w:tcBorders>
            <w:vAlign w:val="center"/>
            <w:hideMark/>
          </w:tcPr>
          <w:p w14:paraId="5DBBC76F"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975" w:type="dxa"/>
            <w:gridSpan w:val="2"/>
            <w:tcBorders>
              <w:top w:val="nil"/>
              <w:left w:val="single" w:sz="8" w:space="0" w:color="auto"/>
              <w:bottom w:val="double" w:sz="6" w:space="0" w:color="auto"/>
              <w:right w:val="nil"/>
            </w:tcBorders>
            <w:shd w:val="clear" w:color="000000" w:fill="FFFFFF"/>
            <w:vAlign w:val="center"/>
            <w:hideMark/>
          </w:tcPr>
          <w:p w14:paraId="07DECAC3"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2000</w:t>
            </w:r>
          </w:p>
        </w:tc>
        <w:tc>
          <w:tcPr>
            <w:tcW w:w="1568" w:type="dxa"/>
            <w:gridSpan w:val="2"/>
            <w:tcBorders>
              <w:top w:val="nil"/>
              <w:left w:val="nil"/>
              <w:bottom w:val="double" w:sz="6" w:space="0" w:color="auto"/>
              <w:right w:val="single" w:sz="8" w:space="0" w:color="000000"/>
            </w:tcBorders>
            <w:shd w:val="clear" w:color="000000" w:fill="FFFFFF"/>
            <w:vAlign w:val="center"/>
            <w:hideMark/>
          </w:tcPr>
          <w:p w14:paraId="091561BA"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2015</w:t>
            </w:r>
          </w:p>
        </w:tc>
        <w:tc>
          <w:tcPr>
            <w:tcW w:w="1560" w:type="dxa"/>
            <w:gridSpan w:val="2"/>
            <w:tcBorders>
              <w:top w:val="nil"/>
              <w:left w:val="nil"/>
              <w:bottom w:val="double" w:sz="6" w:space="0" w:color="auto"/>
              <w:right w:val="nil"/>
            </w:tcBorders>
            <w:shd w:val="clear" w:color="000000" w:fill="FFFFFF"/>
            <w:vAlign w:val="center"/>
            <w:hideMark/>
          </w:tcPr>
          <w:p w14:paraId="1452C99B"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2000</w:t>
            </w:r>
          </w:p>
        </w:tc>
        <w:tc>
          <w:tcPr>
            <w:tcW w:w="1595" w:type="dxa"/>
            <w:gridSpan w:val="2"/>
            <w:tcBorders>
              <w:top w:val="nil"/>
              <w:left w:val="nil"/>
              <w:bottom w:val="double" w:sz="6" w:space="0" w:color="auto"/>
              <w:right w:val="single" w:sz="8" w:space="0" w:color="000000"/>
            </w:tcBorders>
            <w:shd w:val="clear" w:color="000000" w:fill="FFFFFF"/>
            <w:vAlign w:val="center"/>
            <w:hideMark/>
          </w:tcPr>
          <w:p w14:paraId="470CF927"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2015</w:t>
            </w:r>
          </w:p>
        </w:tc>
      </w:tr>
      <w:tr w:rsidR="007C12C3" w:rsidRPr="00A92936" w14:paraId="6B5A5571" w14:textId="77777777" w:rsidTr="007C12C3">
        <w:trPr>
          <w:trHeight w:val="855"/>
          <w:jc w:val="center"/>
        </w:trPr>
        <w:tc>
          <w:tcPr>
            <w:tcW w:w="1008" w:type="dxa"/>
            <w:vMerge/>
            <w:tcBorders>
              <w:top w:val="nil"/>
              <w:left w:val="single" w:sz="8" w:space="0" w:color="auto"/>
              <w:bottom w:val="double" w:sz="6" w:space="0" w:color="000000"/>
              <w:right w:val="nil"/>
            </w:tcBorders>
            <w:vAlign w:val="center"/>
            <w:hideMark/>
          </w:tcPr>
          <w:p w14:paraId="5C95BA65"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vMerge/>
            <w:tcBorders>
              <w:top w:val="nil"/>
              <w:left w:val="nil"/>
              <w:bottom w:val="double" w:sz="6" w:space="0" w:color="000000"/>
              <w:right w:val="nil"/>
            </w:tcBorders>
            <w:vAlign w:val="center"/>
            <w:hideMark/>
          </w:tcPr>
          <w:p w14:paraId="771CA2C2"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231" w:type="dxa"/>
            <w:tcBorders>
              <w:top w:val="nil"/>
              <w:left w:val="single" w:sz="8" w:space="0" w:color="auto"/>
              <w:bottom w:val="double" w:sz="6" w:space="0" w:color="auto"/>
              <w:right w:val="nil"/>
            </w:tcBorders>
            <w:shd w:val="clear" w:color="000000" w:fill="FFFFFF"/>
            <w:vAlign w:val="center"/>
            <w:hideMark/>
          </w:tcPr>
          <w:p w14:paraId="209CE62A"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744" w:type="dxa"/>
            <w:tcBorders>
              <w:top w:val="nil"/>
              <w:left w:val="nil"/>
              <w:bottom w:val="double" w:sz="6" w:space="0" w:color="auto"/>
              <w:right w:val="nil"/>
            </w:tcBorders>
            <w:shd w:val="clear" w:color="000000" w:fill="FFFFFF"/>
            <w:vAlign w:val="center"/>
            <w:hideMark/>
          </w:tcPr>
          <w:p w14:paraId="3E368C22"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13" w:type="dxa"/>
            <w:tcBorders>
              <w:top w:val="nil"/>
              <w:left w:val="nil"/>
              <w:bottom w:val="double" w:sz="6" w:space="0" w:color="auto"/>
              <w:right w:val="nil"/>
            </w:tcBorders>
            <w:shd w:val="clear" w:color="000000" w:fill="FFFFFF"/>
            <w:vAlign w:val="center"/>
            <w:hideMark/>
          </w:tcPr>
          <w:p w14:paraId="4DAADB01"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755" w:type="dxa"/>
            <w:tcBorders>
              <w:top w:val="nil"/>
              <w:left w:val="nil"/>
              <w:bottom w:val="double" w:sz="6" w:space="0" w:color="auto"/>
              <w:right w:val="single" w:sz="8" w:space="0" w:color="auto"/>
            </w:tcBorders>
            <w:shd w:val="clear" w:color="000000" w:fill="FFFFFF"/>
            <w:vAlign w:val="center"/>
            <w:hideMark/>
          </w:tcPr>
          <w:p w14:paraId="2EA0895C"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13" w:type="dxa"/>
            <w:tcBorders>
              <w:top w:val="nil"/>
              <w:left w:val="nil"/>
              <w:bottom w:val="double" w:sz="6" w:space="0" w:color="auto"/>
              <w:right w:val="nil"/>
            </w:tcBorders>
            <w:shd w:val="clear" w:color="000000" w:fill="FFFFFF"/>
            <w:vAlign w:val="center"/>
            <w:hideMark/>
          </w:tcPr>
          <w:p w14:paraId="5FC259A6"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747" w:type="dxa"/>
            <w:tcBorders>
              <w:top w:val="nil"/>
              <w:left w:val="nil"/>
              <w:bottom w:val="double" w:sz="6" w:space="0" w:color="auto"/>
              <w:right w:val="nil"/>
            </w:tcBorders>
            <w:shd w:val="clear" w:color="000000" w:fill="FFFFFF"/>
            <w:vAlign w:val="center"/>
            <w:hideMark/>
          </w:tcPr>
          <w:p w14:paraId="3DF61D3B"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c>
          <w:tcPr>
            <w:tcW w:w="851" w:type="dxa"/>
            <w:tcBorders>
              <w:top w:val="nil"/>
              <w:left w:val="nil"/>
              <w:bottom w:val="double" w:sz="6" w:space="0" w:color="auto"/>
              <w:right w:val="nil"/>
            </w:tcBorders>
            <w:shd w:val="clear" w:color="000000" w:fill="FFFFFF"/>
            <w:vAlign w:val="center"/>
            <w:hideMark/>
          </w:tcPr>
          <w:p w14:paraId="25CC37CD"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retornado</w:t>
            </w:r>
          </w:p>
        </w:tc>
        <w:tc>
          <w:tcPr>
            <w:tcW w:w="744" w:type="dxa"/>
            <w:tcBorders>
              <w:top w:val="nil"/>
              <w:left w:val="nil"/>
              <w:bottom w:val="double" w:sz="6" w:space="0" w:color="auto"/>
              <w:right w:val="single" w:sz="8" w:space="0" w:color="auto"/>
            </w:tcBorders>
            <w:shd w:val="clear" w:color="000000" w:fill="FFFFFF"/>
            <w:vAlign w:val="center"/>
            <w:hideMark/>
          </w:tcPr>
          <w:p w14:paraId="2685855F"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 con jefe no migrante</w:t>
            </w:r>
          </w:p>
        </w:tc>
      </w:tr>
      <w:tr w:rsidR="007C12C3" w:rsidRPr="00A92936" w14:paraId="3C56F302" w14:textId="77777777" w:rsidTr="007C12C3">
        <w:trPr>
          <w:trHeight w:val="270"/>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038CB848"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niños de 6 a 11 años</w:t>
            </w:r>
          </w:p>
        </w:tc>
        <w:tc>
          <w:tcPr>
            <w:tcW w:w="1817" w:type="dxa"/>
            <w:tcBorders>
              <w:top w:val="nil"/>
              <w:left w:val="nil"/>
              <w:bottom w:val="nil"/>
              <w:right w:val="nil"/>
            </w:tcBorders>
            <w:shd w:val="clear" w:color="000000" w:fill="FFFFFF"/>
            <w:vAlign w:val="center"/>
            <w:hideMark/>
          </w:tcPr>
          <w:p w14:paraId="488648BE"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1231" w:type="dxa"/>
            <w:tcBorders>
              <w:top w:val="nil"/>
              <w:left w:val="single" w:sz="8" w:space="0" w:color="auto"/>
              <w:bottom w:val="nil"/>
              <w:right w:val="nil"/>
            </w:tcBorders>
            <w:shd w:val="clear" w:color="000000" w:fill="FFFFFF"/>
            <w:noWrap/>
            <w:vAlign w:val="center"/>
            <w:hideMark/>
          </w:tcPr>
          <w:p w14:paraId="62A18FC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744" w:type="dxa"/>
            <w:tcBorders>
              <w:top w:val="nil"/>
              <w:left w:val="nil"/>
              <w:bottom w:val="nil"/>
              <w:right w:val="nil"/>
            </w:tcBorders>
            <w:shd w:val="clear" w:color="000000" w:fill="FFFFFF"/>
            <w:noWrap/>
            <w:vAlign w:val="center"/>
            <w:hideMark/>
          </w:tcPr>
          <w:p w14:paraId="6B153DD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813" w:type="dxa"/>
            <w:tcBorders>
              <w:top w:val="nil"/>
              <w:left w:val="nil"/>
              <w:bottom w:val="nil"/>
              <w:right w:val="nil"/>
            </w:tcBorders>
            <w:shd w:val="clear" w:color="000000" w:fill="FFFFFF"/>
            <w:noWrap/>
            <w:vAlign w:val="center"/>
            <w:hideMark/>
          </w:tcPr>
          <w:p w14:paraId="28F394E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755" w:type="dxa"/>
            <w:tcBorders>
              <w:top w:val="nil"/>
              <w:left w:val="nil"/>
              <w:bottom w:val="nil"/>
              <w:right w:val="single" w:sz="8" w:space="0" w:color="auto"/>
            </w:tcBorders>
            <w:shd w:val="clear" w:color="000000" w:fill="FFFFFF"/>
            <w:noWrap/>
            <w:vAlign w:val="center"/>
            <w:hideMark/>
          </w:tcPr>
          <w:p w14:paraId="23A3B27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13" w:type="dxa"/>
            <w:tcBorders>
              <w:top w:val="nil"/>
              <w:left w:val="nil"/>
              <w:bottom w:val="nil"/>
              <w:right w:val="nil"/>
            </w:tcBorders>
            <w:shd w:val="clear" w:color="000000" w:fill="FFFFFF"/>
            <w:noWrap/>
            <w:vAlign w:val="center"/>
            <w:hideMark/>
          </w:tcPr>
          <w:p w14:paraId="5A03401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7" w:type="dxa"/>
            <w:tcBorders>
              <w:top w:val="nil"/>
              <w:left w:val="nil"/>
              <w:bottom w:val="nil"/>
              <w:right w:val="nil"/>
            </w:tcBorders>
            <w:shd w:val="clear" w:color="000000" w:fill="FFFFFF"/>
            <w:noWrap/>
            <w:vAlign w:val="center"/>
            <w:hideMark/>
          </w:tcPr>
          <w:p w14:paraId="49BDEA8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851" w:type="dxa"/>
            <w:tcBorders>
              <w:top w:val="nil"/>
              <w:left w:val="nil"/>
              <w:bottom w:val="nil"/>
              <w:right w:val="nil"/>
            </w:tcBorders>
            <w:shd w:val="clear" w:color="000000" w:fill="FFFFFF"/>
            <w:noWrap/>
            <w:vAlign w:val="center"/>
            <w:hideMark/>
          </w:tcPr>
          <w:p w14:paraId="15DA02E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4" w:type="dxa"/>
            <w:tcBorders>
              <w:top w:val="nil"/>
              <w:left w:val="nil"/>
              <w:bottom w:val="nil"/>
              <w:right w:val="single" w:sz="8" w:space="0" w:color="auto"/>
            </w:tcBorders>
            <w:shd w:val="clear" w:color="000000" w:fill="FFFFFF"/>
            <w:noWrap/>
            <w:vAlign w:val="center"/>
            <w:hideMark/>
          </w:tcPr>
          <w:p w14:paraId="67AEEA1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r>
      <w:tr w:rsidR="007C12C3" w:rsidRPr="00A92936" w14:paraId="0819923B"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6EB56339"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3FAC7732"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1231" w:type="dxa"/>
            <w:tcBorders>
              <w:top w:val="nil"/>
              <w:left w:val="single" w:sz="8" w:space="0" w:color="auto"/>
              <w:bottom w:val="nil"/>
              <w:right w:val="nil"/>
            </w:tcBorders>
            <w:shd w:val="clear" w:color="000000" w:fill="FFFFFF"/>
            <w:noWrap/>
            <w:vAlign w:val="center"/>
            <w:hideMark/>
          </w:tcPr>
          <w:p w14:paraId="56658BC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0.2</w:t>
            </w:r>
          </w:p>
        </w:tc>
        <w:tc>
          <w:tcPr>
            <w:tcW w:w="744" w:type="dxa"/>
            <w:tcBorders>
              <w:top w:val="nil"/>
              <w:left w:val="nil"/>
              <w:bottom w:val="nil"/>
              <w:right w:val="nil"/>
            </w:tcBorders>
            <w:shd w:val="clear" w:color="000000" w:fill="FFFFFF"/>
            <w:noWrap/>
            <w:vAlign w:val="center"/>
            <w:hideMark/>
          </w:tcPr>
          <w:p w14:paraId="10B16B7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813" w:type="dxa"/>
            <w:tcBorders>
              <w:top w:val="nil"/>
              <w:left w:val="nil"/>
              <w:bottom w:val="nil"/>
              <w:right w:val="nil"/>
            </w:tcBorders>
            <w:shd w:val="clear" w:color="000000" w:fill="FFFFFF"/>
            <w:noWrap/>
            <w:vAlign w:val="center"/>
            <w:hideMark/>
          </w:tcPr>
          <w:p w14:paraId="0174002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755" w:type="dxa"/>
            <w:tcBorders>
              <w:top w:val="nil"/>
              <w:left w:val="nil"/>
              <w:bottom w:val="nil"/>
              <w:right w:val="single" w:sz="8" w:space="0" w:color="auto"/>
            </w:tcBorders>
            <w:shd w:val="clear" w:color="000000" w:fill="FFFFFF"/>
            <w:noWrap/>
            <w:vAlign w:val="center"/>
            <w:hideMark/>
          </w:tcPr>
          <w:p w14:paraId="5A36CF2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813" w:type="dxa"/>
            <w:tcBorders>
              <w:top w:val="nil"/>
              <w:left w:val="nil"/>
              <w:bottom w:val="nil"/>
              <w:right w:val="nil"/>
            </w:tcBorders>
            <w:shd w:val="clear" w:color="000000" w:fill="FFFFFF"/>
            <w:noWrap/>
            <w:vAlign w:val="center"/>
            <w:hideMark/>
          </w:tcPr>
          <w:p w14:paraId="03B5F61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747" w:type="dxa"/>
            <w:tcBorders>
              <w:top w:val="nil"/>
              <w:left w:val="nil"/>
              <w:bottom w:val="nil"/>
              <w:right w:val="nil"/>
            </w:tcBorders>
            <w:shd w:val="clear" w:color="000000" w:fill="FFFFFF"/>
            <w:noWrap/>
            <w:vAlign w:val="center"/>
            <w:hideMark/>
          </w:tcPr>
          <w:p w14:paraId="76AEBD6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851" w:type="dxa"/>
            <w:tcBorders>
              <w:top w:val="nil"/>
              <w:left w:val="nil"/>
              <w:bottom w:val="nil"/>
              <w:right w:val="nil"/>
            </w:tcBorders>
            <w:shd w:val="clear" w:color="000000" w:fill="FFFFFF"/>
            <w:noWrap/>
            <w:vAlign w:val="center"/>
            <w:hideMark/>
          </w:tcPr>
          <w:p w14:paraId="28A3F0B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744" w:type="dxa"/>
            <w:tcBorders>
              <w:top w:val="nil"/>
              <w:left w:val="nil"/>
              <w:bottom w:val="nil"/>
              <w:right w:val="single" w:sz="8" w:space="0" w:color="auto"/>
            </w:tcBorders>
            <w:shd w:val="clear" w:color="000000" w:fill="FFFFFF"/>
            <w:noWrap/>
            <w:vAlign w:val="center"/>
            <w:hideMark/>
          </w:tcPr>
          <w:p w14:paraId="3456FC4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r>
      <w:tr w:rsidR="007C12C3" w:rsidRPr="00A92936" w14:paraId="02A7EF26"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580B91C3"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4EE3C5BF"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1231" w:type="dxa"/>
            <w:tcBorders>
              <w:top w:val="nil"/>
              <w:left w:val="single" w:sz="8" w:space="0" w:color="auto"/>
              <w:bottom w:val="nil"/>
              <w:right w:val="nil"/>
            </w:tcBorders>
            <w:shd w:val="clear" w:color="000000" w:fill="FFFFFF"/>
            <w:noWrap/>
            <w:vAlign w:val="center"/>
            <w:hideMark/>
          </w:tcPr>
          <w:p w14:paraId="13261D6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0.1</w:t>
            </w:r>
          </w:p>
        </w:tc>
        <w:tc>
          <w:tcPr>
            <w:tcW w:w="744" w:type="dxa"/>
            <w:tcBorders>
              <w:top w:val="nil"/>
              <w:left w:val="nil"/>
              <w:bottom w:val="nil"/>
              <w:right w:val="nil"/>
            </w:tcBorders>
            <w:shd w:val="clear" w:color="000000" w:fill="FFFFFF"/>
            <w:noWrap/>
            <w:vAlign w:val="center"/>
            <w:hideMark/>
          </w:tcPr>
          <w:p w14:paraId="384303A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813" w:type="dxa"/>
            <w:tcBorders>
              <w:top w:val="nil"/>
              <w:left w:val="nil"/>
              <w:bottom w:val="nil"/>
              <w:right w:val="nil"/>
            </w:tcBorders>
            <w:shd w:val="clear" w:color="000000" w:fill="FFFFFF"/>
            <w:noWrap/>
            <w:vAlign w:val="center"/>
            <w:hideMark/>
          </w:tcPr>
          <w:p w14:paraId="7DEF4A6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55" w:type="dxa"/>
            <w:tcBorders>
              <w:top w:val="nil"/>
              <w:left w:val="nil"/>
              <w:bottom w:val="nil"/>
              <w:right w:val="single" w:sz="8" w:space="0" w:color="auto"/>
            </w:tcBorders>
            <w:shd w:val="clear" w:color="000000" w:fill="FFFFFF"/>
            <w:noWrap/>
            <w:vAlign w:val="center"/>
            <w:hideMark/>
          </w:tcPr>
          <w:p w14:paraId="6006F2A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813" w:type="dxa"/>
            <w:tcBorders>
              <w:top w:val="nil"/>
              <w:left w:val="nil"/>
              <w:bottom w:val="nil"/>
              <w:right w:val="nil"/>
            </w:tcBorders>
            <w:shd w:val="clear" w:color="000000" w:fill="FFFFFF"/>
            <w:noWrap/>
            <w:vAlign w:val="center"/>
            <w:hideMark/>
          </w:tcPr>
          <w:p w14:paraId="05975C8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747" w:type="dxa"/>
            <w:tcBorders>
              <w:top w:val="nil"/>
              <w:left w:val="nil"/>
              <w:bottom w:val="nil"/>
              <w:right w:val="nil"/>
            </w:tcBorders>
            <w:shd w:val="clear" w:color="000000" w:fill="FFFFFF"/>
            <w:noWrap/>
            <w:vAlign w:val="center"/>
            <w:hideMark/>
          </w:tcPr>
          <w:p w14:paraId="1AC4ECC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851" w:type="dxa"/>
            <w:tcBorders>
              <w:top w:val="nil"/>
              <w:left w:val="nil"/>
              <w:bottom w:val="nil"/>
              <w:right w:val="nil"/>
            </w:tcBorders>
            <w:shd w:val="clear" w:color="000000" w:fill="FFFFFF"/>
            <w:noWrap/>
            <w:vAlign w:val="center"/>
            <w:hideMark/>
          </w:tcPr>
          <w:p w14:paraId="0FBB4F7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744" w:type="dxa"/>
            <w:tcBorders>
              <w:top w:val="nil"/>
              <w:left w:val="nil"/>
              <w:bottom w:val="nil"/>
              <w:right w:val="single" w:sz="8" w:space="0" w:color="auto"/>
            </w:tcBorders>
            <w:shd w:val="clear" w:color="000000" w:fill="FFFFFF"/>
            <w:noWrap/>
            <w:vAlign w:val="center"/>
            <w:hideMark/>
          </w:tcPr>
          <w:p w14:paraId="1FE3D67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r>
      <w:tr w:rsidR="007C12C3" w:rsidRPr="00A92936" w14:paraId="18CDD250"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7F8E3CB3"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0EBB8C34"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1231" w:type="dxa"/>
            <w:tcBorders>
              <w:top w:val="nil"/>
              <w:left w:val="single" w:sz="8" w:space="0" w:color="auto"/>
              <w:bottom w:val="nil"/>
              <w:right w:val="nil"/>
            </w:tcBorders>
            <w:shd w:val="clear" w:color="000000" w:fill="FFFFFF"/>
            <w:noWrap/>
            <w:vAlign w:val="center"/>
            <w:hideMark/>
          </w:tcPr>
          <w:p w14:paraId="4BFE63F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744" w:type="dxa"/>
            <w:tcBorders>
              <w:top w:val="nil"/>
              <w:left w:val="nil"/>
              <w:bottom w:val="nil"/>
              <w:right w:val="nil"/>
            </w:tcBorders>
            <w:shd w:val="clear" w:color="000000" w:fill="FFFFFF"/>
            <w:noWrap/>
            <w:vAlign w:val="center"/>
            <w:hideMark/>
          </w:tcPr>
          <w:p w14:paraId="794D894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813" w:type="dxa"/>
            <w:tcBorders>
              <w:top w:val="nil"/>
              <w:left w:val="nil"/>
              <w:bottom w:val="nil"/>
              <w:right w:val="nil"/>
            </w:tcBorders>
            <w:shd w:val="clear" w:color="000000" w:fill="FFFFFF"/>
            <w:noWrap/>
            <w:vAlign w:val="center"/>
            <w:hideMark/>
          </w:tcPr>
          <w:p w14:paraId="2E97D8A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755" w:type="dxa"/>
            <w:tcBorders>
              <w:top w:val="nil"/>
              <w:left w:val="nil"/>
              <w:bottom w:val="nil"/>
              <w:right w:val="single" w:sz="8" w:space="0" w:color="auto"/>
            </w:tcBorders>
            <w:shd w:val="clear" w:color="000000" w:fill="FFFFFF"/>
            <w:noWrap/>
            <w:vAlign w:val="center"/>
            <w:hideMark/>
          </w:tcPr>
          <w:p w14:paraId="1260897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13" w:type="dxa"/>
            <w:tcBorders>
              <w:top w:val="nil"/>
              <w:left w:val="nil"/>
              <w:bottom w:val="nil"/>
              <w:right w:val="nil"/>
            </w:tcBorders>
            <w:shd w:val="clear" w:color="000000" w:fill="FFFFFF"/>
            <w:noWrap/>
            <w:vAlign w:val="center"/>
            <w:hideMark/>
          </w:tcPr>
          <w:p w14:paraId="1C86768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7" w:type="dxa"/>
            <w:tcBorders>
              <w:top w:val="nil"/>
              <w:left w:val="nil"/>
              <w:bottom w:val="nil"/>
              <w:right w:val="nil"/>
            </w:tcBorders>
            <w:shd w:val="clear" w:color="000000" w:fill="FFFFFF"/>
            <w:noWrap/>
            <w:vAlign w:val="center"/>
            <w:hideMark/>
          </w:tcPr>
          <w:p w14:paraId="6D7E83F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851" w:type="dxa"/>
            <w:tcBorders>
              <w:top w:val="nil"/>
              <w:left w:val="nil"/>
              <w:bottom w:val="nil"/>
              <w:right w:val="nil"/>
            </w:tcBorders>
            <w:shd w:val="clear" w:color="000000" w:fill="FFFFFF"/>
            <w:noWrap/>
            <w:vAlign w:val="center"/>
            <w:hideMark/>
          </w:tcPr>
          <w:p w14:paraId="29989F6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4" w:type="dxa"/>
            <w:tcBorders>
              <w:top w:val="nil"/>
              <w:left w:val="nil"/>
              <w:bottom w:val="nil"/>
              <w:right w:val="single" w:sz="8" w:space="0" w:color="auto"/>
            </w:tcBorders>
            <w:shd w:val="clear" w:color="000000" w:fill="FFFFFF"/>
            <w:noWrap/>
            <w:vAlign w:val="center"/>
            <w:hideMark/>
          </w:tcPr>
          <w:p w14:paraId="5F27E6C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r>
      <w:tr w:rsidR="007C12C3" w:rsidRPr="00A92936" w14:paraId="364A83A3" w14:textId="77777777" w:rsidTr="007C12C3">
        <w:trPr>
          <w:trHeight w:val="465"/>
          <w:jc w:val="center"/>
        </w:trPr>
        <w:tc>
          <w:tcPr>
            <w:tcW w:w="1008" w:type="dxa"/>
            <w:vMerge/>
            <w:tcBorders>
              <w:top w:val="nil"/>
              <w:left w:val="single" w:sz="8" w:space="0" w:color="auto"/>
              <w:bottom w:val="double" w:sz="6" w:space="0" w:color="000000"/>
              <w:right w:val="nil"/>
            </w:tcBorders>
            <w:vAlign w:val="center"/>
            <w:hideMark/>
          </w:tcPr>
          <w:p w14:paraId="2B0A155D"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double" w:sz="6" w:space="0" w:color="auto"/>
              <w:right w:val="nil"/>
            </w:tcBorders>
            <w:shd w:val="clear" w:color="000000" w:fill="FFFFFF"/>
            <w:vAlign w:val="center"/>
            <w:hideMark/>
          </w:tcPr>
          <w:p w14:paraId="3CE26382"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1231" w:type="dxa"/>
            <w:tcBorders>
              <w:top w:val="nil"/>
              <w:left w:val="single" w:sz="8" w:space="0" w:color="auto"/>
              <w:bottom w:val="double" w:sz="6" w:space="0" w:color="auto"/>
              <w:right w:val="nil"/>
            </w:tcBorders>
            <w:shd w:val="clear" w:color="000000" w:fill="FFFFFF"/>
            <w:noWrap/>
            <w:vAlign w:val="center"/>
            <w:hideMark/>
          </w:tcPr>
          <w:p w14:paraId="54103A1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4" w:type="dxa"/>
            <w:tcBorders>
              <w:top w:val="nil"/>
              <w:left w:val="nil"/>
              <w:bottom w:val="double" w:sz="6" w:space="0" w:color="auto"/>
              <w:right w:val="nil"/>
            </w:tcBorders>
            <w:shd w:val="clear" w:color="000000" w:fill="FFFFFF"/>
            <w:noWrap/>
            <w:vAlign w:val="center"/>
            <w:hideMark/>
          </w:tcPr>
          <w:p w14:paraId="0D9118E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13" w:type="dxa"/>
            <w:tcBorders>
              <w:top w:val="nil"/>
              <w:left w:val="nil"/>
              <w:bottom w:val="double" w:sz="6" w:space="0" w:color="auto"/>
              <w:right w:val="nil"/>
            </w:tcBorders>
            <w:shd w:val="clear" w:color="000000" w:fill="FFFFFF"/>
            <w:noWrap/>
            <w:vAlign w:val="center"/>
            <w:hideMark/>
          </w:tcPr>
          <w:p w14:paraId="12748D7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55" w:type="dxa"/>
            <w:tcBorders>
              <w:top w:val="nil"/>
              <w:left w:val="nil"/>
              <w:bottom w:val="double" w:sz="6" w:space="0" w:color="auto"/>
              <w:right w:val="single" w:sz="8" w:space="0" w:color="auto"/>
            </w:tcBorders>
            <w:shd w:val="clear" w:color="000000" w:fill="FFFFFF"/>
            <w:noWrap/>
            <w:vAlign w:val="center"/>
            <w:hideMark/>
          </w:tcPr>
          <w:p w14:paraId="1C63CF4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813" w:type="dxa"/>
            <w:tcBorders>
              <w:top w:val="nil"/>
              <w:left w:val="nil"/>
              <w:bottom w:val="double" w:sz="6" w:space="0" w:color="auto"/>
              <w:right w:val="nil"/>
            </w:tcBorders>
            <w:shd w:val="clear" w:color="000000" w:fill="FFFFFF"/>
            <w:noWrap/>
            <w:vAlign w:val="center"/>
            <w:hideMark/>
          </w:tcPr>
          <w:p w14:paraId="3C13570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747" w:type="dxa"/>
            <w:tcBorders>
              <w:top w:val="nil"/>
              <w:left w:val="nil"/>
              <w:bottom w:val="double" w:sz="6" w:space="0" w:color="auto"/>
              <w:right w:val="nil"/>
            </w:tcBorders>
            <w:shd w:val="clear" w:color="000000" w:fill="FFFFFF"/>
            <w:noWrap/>
            <w:vAlign w:val="center"/>
            <w:hideMark/>
          </w:tcPr>
          <w:p w14:paraId="4CFE233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851" w:type="dxa"/>
            <w:tcBorders>
              <w:top w:val="nil"/>
              <w:left w:val="nil"/>
              <w:bottom w:val="double" w:sz="6" w:space="0" w:color="auto"/>
              <w:right w:val="nil"/>
            </w:tcBorders>
            <w:shd w:val="clear" w:color="000000" w:fill="FFFFFF"/>
            <w:noWrap/>
            <w:vAlign w:val="center"/>
            <w:hideMark/>
          </w:tcPr>
          <w:p w14:paraId="4C9920D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44" w:type="dxa"/>
            <w:tcBorders>
              <w:top w:val="nil"/>
              <w:left w:val="nil"/>
              <w:bottom w:val="double" w:sz="6" w:space="0" w:color="auto"/>
              <w:right w:val="single" w:sz="8" w:space="0" w:color="auto"/>
            </w:tcBorders>
            <w:shd w:val="clear" w:color="000000" w:fill="FFFFFF"/>
            <w:noWrap/>
            <w:vAlign w:val="center"/>
            <w:hideMark/>
          </w:tcPr>
          <w:p w14:paraId="298D8C4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r>
      <w:tr w:rsidR="007C12C3" w:rsidRPr="00A92936" w14:paraId="0C473BCE" w14:textId="77777777" w:rsidTr="007C12C3">
        <w:trPr>
          <w:trHeight w:val="270"/>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63A8DEE0"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adolescentes de 12 a 14 años</w:t>
            </w:r>
          </w:p>
        </w:tc>
        <w:tc>
          <w:tcPr>
            <w:tcW w:w="1817" w:type="dxa"/>
            <w:tcBorders>
              <w:top w:val="nil"/>
              <w:left w:val="nil"/>
              <w:bottom w:val="nil"/>
              <w:right w:val="nil"/>
            </w:tcBorders>
            <w:shd w:val="clear" w:color="000000" w:fill="FFFFFF"/>
            <w:vAlign w:val="center"/>
            <w:hideMark/>
          </w:tcPr>
          <w:p w14:paraId="607B2F55"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1231" w:type="dxa"/>
            <w:tcBorders>
              <w:top w:val="nil"/>
              <w:left w:val="single" w:sz="8" w:space="0" w:color="auto"/>
              <w:bottom w:val="nil"/>
              <w:right w:val="nil"/>
            </w:tcBorders>
            <w:shd w:val="clear" w:color="000000" w:fill="FFFFFF"/>
            <w:noWrap/>
            <w:vAlign w:val="center"/>
            <w:hideMark/>
          </w:tcPr>
          <w:p w14:paraId="70D3C8A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744" w:type="dxa"/>
            <w:tcBorders>
              <w:top w:val="nil"/>
              <w:left w:val="nil"/>
              <w:bottom w:val="nil"/>
              <w:right w:val="nil"/>
            </w:tcBorders>
            <w:shd w:val="clear" w:color="000000" w:fill="FFFFFF"/>
            <w:noWrap/>
            <w:vAlign w:val="center"/>
            <w:hideMark/>
          </w:tcPr>
          <w:p w14:paraId="07C5F41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813" w:type="dxa"/>
            <w:tcBorders>
              <w:top w:val="nil"/>
              <w:left w:val="nil"/>
              <w:bottom w:val="nil"/>
              <w:right w:val="nil"/>
            </w:tcBorders>
            <w:shd w:val="clear" w:color="000000" w:fill="FFFFFF"/>
            <w:noWrap/>
            <w:vAlign w:val="center"/>
            <w:hideMark/>
          </w:tcPr>
          <w:p w14:paraId="50327B4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755" w:type="dxa"/>
            <w:tcBorders>
              <w:top w:val="nil"/>
              <w:left w:val="nil"/>
              <w:bottom w:val="nil"/>
              <w:right w:val="single" w:sz="8" w:space="0" w:color="auto"/>
            </w:tcBorders>
            <w:shd w:val="clear" w:color="000000" w:fill="FFFFFF"/>
            <w:noWrap/>
            <w:vAlign w:val="center"/>
            <w:hideMark/>
          </w:tcPr>
          <w:p w14:paraId="3BAF8FC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813" w:type="dxa"/>
            <w:tcBorders>
              <w:top w:val="nil"/>
              <w:left w:val="nil"/>
              <w:bottom w:val="nil"/>
              <w:right w:val="nil"/>
            </w:tcBorders>
            <w:shd w:val="clear" w:color="000000" w:fill="FFFFFF"/>
            <w:noWrap/>
            <w:vAlign w:val="center"/>
            <w:hideMark/>
          </w:tcPr>
          <w:p w14:paraId="592CC33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7" w:type="dxa"/>
            <w:tcBorders>
              <w:top w:val="nil"/>
              <w:left w:val="nil"/>
              <w:bottom w:val="nil"/>
              <w:right w:val="nil"/>
            </w:tcBorders>
            <w:shd w:val="clear" w:color="000000" w:fill="FFFFFF"/>
            <w:noWrap/>
            <w:vAlign w:val="center"/>
            <w:hideMark/>
          </w:tcPr>
          <w:p w14:paraId="254974E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51" w:type="dxa"/>
            <w:tcBorders>
              <w:top w:val="nil"/>
              <w:left w:val="nil"/>
              <w:bottom w:val="nil"/>
              <w:right w:val="nil"/>
            </w:tcBorders>
            <w:shd w:val="clear" w:color="000000" w:fill="FFFFFF"/>
            <w:noWrap/>
            <w:vAlign w:val="center"/>
            <w:hideMark/>
          </w:tcPr>
          <w:p w14:paraId="0E16F26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744" w:type="dxa"/>
            <w:tcBorders>
              <w:top w:val="nil"/>
              <w:left w:val="nil"/>
              <w:bottom w:val="nil"/>
              <w:right w:val="single" w:sz="8" w:space="0" w:color="auto"/>
            </w:tcBorders>
            <w:shd w:val="clear" w:color="000000" w:fill="FFFFFF"/>
            <w:noWrap/>
            <w:vAlign w:val="center"/>
            <w:hideMark/>
          </w:tcPr>
          <w:p w14:paraId="215D1DA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r>
      <w:tr w:rsidR="007C12C3" w:rsidRPr="00A92936" w14:paraId="7C79559A"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23CE00CA"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31010CA4"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1231" w:type="dxa"/>
            <w:tcBorders>
              <w:top w:val="nil"/>
              <w:left w:val="single" w:sz="8" w:space="0" w:color="auto"/>
              <w:bottom w:val="nil"/>
              <w:right w:val="nil"/>
            </w:tcBorders>
            <w:shd w:val="clear" w:color="000000" w:fill="FFFFFF"/>
            <w:noWrap/>
            <w:vAlign w:val="center"/>
            <w:hideMark/>
          </w:tcPr>
          <w:p w14:paraId="104EBF7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0.2</w:t>
            </w:r>
          </w:p>
        </w:tc>
        <w:tc>
          <w:tcPr>
            <w:tcW w:w="744" w:type="dxa"/>
            <w:tcBorders>
              <w:top w:val="nil"/>
              <w:left w:val="nil"/>
              <w:bottom w:val="nil"/>
              <w:right w:val="nil"/>
            </w:tcBorders>
            <w:shd w:val="clear" w:color="000000" w:fill="FFFFFF"/>
            <w:noWrap/>
            <w:vAlign w:val="center"/>
            <w:hideMark/>
          </w:tcPr>
          <w:p w14:paraId="381390B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813" w:type="dxa"/>
            <w:tcBorders>
              <w:top w:val="nil"/>
              <w:left w:val="nil"/>
              <w:bottom w:val="nil"/>
              <w:right w:val="nil"/>
            </w:tcBorders>
            <w:shd w:val="clear" w:color="000000" w:fill="FFFFFF"/>
            <w:noWrap/>
            <w:vAlign w:val="center"/>
            <w:hideMark/>
          </w:tcPr>
          <w:p w14:paraId="61A4AD6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755" w:type="dxa"/>
            <w:tcBorders>
              <w:top w:val="nil"/>
              <w:left w:val="nil"/>
              <w:bottom w:val="nil"/>
              <w:right w:val="single" w:sz="8" w:space="0" w:color="auto"/>
            </w:tcBorders>
            <w:shd w:val="clear" w:color="000000" w:fill="FFFFFF"/>
            <w:noWrap/>
            <w:vAlign w:val="center"/>
            <w:hideMark/>
          </w:tcPr>
          <w:p w14:paraId="059E17B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813" w:type="dxa"/>
            <w:tcBorders>
              <w:top w:val="nil"/>
              <w:left w:val="nil"/>
              <w:bottom w:val="nil"/>
              <w:right w:val="nil"/>
            </w:tcBorders>
            <w:shd w:val="clear" w:color="000000" w:fill="FFFFFF"/>
            <w:noWrap/>
            <w:vAlign w:val="center"/>
            <w:hideMark/>
          </w:tcPr>
          <w:p w14:paraId="1D00E7F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0.4</w:t>
            </w:r>
          </w:p>
        </w:tc>
        <w:tc>
          <w:tcPr>
            <w:tcW w:w="747" w:type="dxa"/>
            <w:tcBorders>
              <w:top w:val="nil"/>
              <w:left w:val="nil"/>
              <w:bottom w:val="nil"/>
              <w:right w:val="nil"/>
            </w:tcBorders>
            <w:shd w:val="clear" w:color="000000" w:fill="FFFFFF"/>
            <w:noWrap/>
            <w:vAlign w:val="center"/>
            <w:hideMark/>
          </w:tcPr>
          <w:p w14:paraId="46D03E8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851" w:type="dxa"/>
            <w:tcBorders>
              <w:top w:val="nil"/>
              <w:left w:val="nil"/>
              <w:bottom w:val="nil"/>
              <w:right w:val="nil"/>
            </w:tcBorders>
            <w:shd w:val="clear" w:color="000000" w:fill="FFFFFF"/>
            <w:noWrap/>
            <w:vAlign w:val="center"/>
            <w:hideMark/>
          </w:tcPr>
          <w:p w14:paraId="3DFACF2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744" w:type="dxa"/>
            <w:tcBorders>
              <w:top w:val="nil"/>
              <w:left w:val="nil"/>
              <w:bottom w:val="nil"/>
              <w:right w:val="single" w:sz="8" w:space="0" w:color="auto"/>
            </w:tcBorders>
            <w:shd w:val="clear" w:color="000000" w:fill="FFFFFF"/>
            <w:noWrap/>
            <w:vAlign w:val="center"/>
            <w:hideMark/>
          </w:tcPr>
          <w:p w14:paraId="59E9E16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r>
      <w:tr w:rsidR="007C12C3" w:rsidRPr="00A92936" w14:paraId="60FC47B8"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55D5FAB1"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0CFF3AFC"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1231" w:type="dxa"/>
            <w:tcBorders>
              <w:top w:val="nil"/>
              <w:left w:val="single" w:sz="8" w:space="0" w:color="auto"/>
              <w:bottom w:val="nil"/>
              <w:right w:val="nil"/>
            </w:tcBorders>
            <w:shd w:val="clear" w:color="000000" w:fill="FFFFFF"/>
            <w:noWrap/>
            <w:vAlign w:val="center"/>
            <w:hideMark/>
          </w:tcPr>
          <w:p w14:paraId="3686917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744" w:type="dxa"/>
            <w:tcBorders>
              <w:top w:val="nil"/>
              <w:left w:val="nil"/>
              <w:bottom w:val="nil"/>
              <w:right w:val="nil"/>
            </w:tcBorders>
            <w:shd w:val="clear" w:color="000000" w:fill="FFFFFF"/>
            <w:noWrap/>
            <w:vAlign w:val="center"/>
            <w:hideMark/>
          </w:tcPr>
          <w:p w14:paraId="63884E3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0.4</w:t>
            </w:r>
          </w:p>
        </w:tc>
        <w:tc>
          <w:tcPr>
            <w:tcW w:w="813" w:type="dxa"/>
            <w:tcBorders>
              <w:top w:val="nil"/>
              <w:left w:val="nil"/>
              <w:bottom w:val="nil"/>
              <w:right w:val="nil"/>
            </w:tcBorders>
            <w:shd w:val="clear" w:color="000000" w:fill="FFFFFF"/>
            <w:noWrap/>
            <w:vAlign w:val="center"/>
            <w:hideMark/>
          </w:tcPr>
          <w:p w14:paraId="7F2E4E3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755" w:type="dxa"/>
            <w:tcBorders>
              <w:top w:val="nil"/>
              <w:left w:val="nil"/>
              <w:bottom w:val="nil"/>
              <w:right w:val="single" w:sz="8" w:space="0" w:color="auto"/>
            </w:tcBorders>
            <w:shd w:val="clear" w:color="000000" w:fill="FFFFFF"/>
            <w:noWrap/>
            <w:vAlign w:val="center"/>
            <w:hideMark/>
          </w:tcPr>
          <w:p w14:paraId="2E7BFFA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813" w:type="dxa"/>
            <w:tcBorders>
              <w:top w:val="nil"/>
              <w:left w:val="nil"/>
              <w:bottom w:val="nil"/>
              <w:right w:val="nil"/>
            </w:tcBorders>
            <w:shd w:val="clear" w:color="000000" w:fill="FFFFFF"/>
            <w:noWrap/>
            <w:vAlign w:val="center"/>
            <w:hideMark/>
          </w:tcPr>
          <w:p w14:paraId="660AA75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747" w:type="dxa"/>
            <w:tcBorders>
              <w:top w:val="nil"/>
              <w:left w:val="nil"/>
              <w:bottom w:val="nil"/>
              <w:right w:val="nil"/>
            </w:tcBorders>
            <w:shd w:val="clear" w:color="000000" w:fill="FFFFFF"/>
            <w:noWrap/>
            <w:vAlign w:val="center"/>
            <w:hideMark/>
          </w:tcPr>
          <w:p w14:paraId="41C39FD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851" w:type="dxa"/>
            <w:tcBorders>
              <w:top w:val="nil"/>
              <w:left w:val="nil"/>
              <w:bottom w:val="nil"/>
              <w:right w:val="nil"/>
            </w:tcBorders>
            <w:shd w:val="clear" w:color="000000" w:fill="FFFFFF"/>
            <w:noWrap/>
            <w:vAlign w:val="center"/>
            <w:hideMark/>
          </w:tcPr>
          <w:p w14:paraId="08D8852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744" w:type="dxa"/>
            <w:tcBorders>
              <w:top w:val="nil"/>
              <w:left w:val="nil"/>
              <w:bottom w:val="nil"/>
              <w:right w:val="single" w:sz="8" w:space="0" w:color="auto"/>
            </w:tcBorders>
            <w:shd w:val="clear" w:color="000000" w:fill="FFFFFF"/>
            <w:noWrap/>
            <w:vAlign w:val="center"/>
            <w:hideMark/>
          </w:tcPr>
          <w:p w14:paraId="7579E96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r>
      <w:tr w:rsidR="007C12C3" w:rsidRPr="00A92936" w14:paraId="362E26B7"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4958514F"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5C341A04"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1231" w:type="dxa"/>
            <w:tcBorders>
              <w:top w:val="nil"/>
              <w:left w:val="single" w:sz="8" w:space="0" w:color="auto"/>
              <w:bottom w:val="nil"/>
              <w:right w:val="nil"/>
            </w:tcBorders>
            <w:shd w:val="clear" w:color="000000" w:fill="FFFFFF"/>
            <w:noWrap/>
            <w:vAlign w:val="center"/>
            <w:hideMark/>
          </w:tcPr>
          <w:p w14:paraId="55D6EEE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744" w:type="dxa"/>
            <w:tcBorders>
              <w:top w:val="nil"/>
              <w:left w:val="nil"/>
              <w:bottom w:val="nil"/>
              <w:right w:val="nil"/>
            </w:tcBorders>
            <w:shd w:val="clear" w:color="000000" w:fill="FFFFFF"/>
            <w:noWrap/>
            <w:vAlign w:val="center"/>
            <w:hideMark/>
          </w:tcPr>
          <w:p w14:paraId="31972F5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813" w:type="dxa"/>
            <w:tcBorders>
              <w:top w:val="nil"/>
              <w:left w:val="nil"/>
              <w:bottom w:val="nil"/>
              <w:right w:val="nil"/>
            </w:tcBorders>
            <w:shd w:val="clear" w:color="000000" w:fill="FFFFFF"/>
            <w:noWrap/>
            <w:vAlign w:val="center"/>
            <w:hideMark/>
          </w:tcPr>
          <w:p w14:paraId="1000E5C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755" w:type="dxa"/>
            <w:tcBorders>
              <w:top w:val="nil"/>
              <w:left w:val="nil"/>
              <w:bottom w:val="nil"/>
              <w:right w:val="single" w:sz="8" w:space="0" w:color="auto"/>
            </w:tcBorders>
            <w:shd w:val="clear" w:color="000000" w:fill="FFFFFF"/>
            <w:noWrap/>
            <w:vAlign w:val="center"/>
            <w:hideMark/>
          </w:tcPr>
          <w:p w14:paraId="0D7B680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13" w:type="dxa"/>
            <w:tcBorders>
              <w:top w:val="nil"/>
              <w:left w:val="nil"/>
              <w:bottom w:val="nil"/>
              <w:right w:val="nil"/>
            </w:tcBorders>
            <w:shd w:val="clear" w:color="000000" w:fill="FFFFFF"/>
            <w:noWrap/>
            <w:vAlign w:val="center"/>
            <w:hideMark/>
          </w:tcPr>
          <w:p w14:paraId="52525D2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7" w:type="dxa"/>
            <w:tcBorders>
              <w:top w:val="nil"/>
              <w:left w:val="nil"/>
              <w:bottom w:val="nil"/>
              <w:right w:val="nil"/>
            </w:tcBorders>
            <w:shd w:val="clear" w:color="000000" w:fill="FFFFFF"/>
            <w:noWrap/>
            <w:vAlign w:val="center"/>
            <w:hideMark/>
          </w:tcPr>
          <w:p w14:paraId="3CCCC37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51" w:type="dxa"/>
            <w:tcBorders>
              <w:top w:val="nil"/>
              <w:left w:val="nil"/>
              <w:bottom w:val="nil"/>
              <w:right w:val="nil"/>
            </w:tcBorders>
            <w:shd w:val="clear" w:color="000000" w:fill="FFFFFF"/>
            <w:noWrap/>
            <w:vAlign w:val="center"/>
            <w:hideMark/>
          </w:tcPr>
          <w:p w14:paraId="1673705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4" w:type="dxa"/>
            <w:tcBorders>
              <w:top w:val="nil"/>
              <w:left w:val="nil"/>
              <w:bottom w:val="nil"/>
              <w:right w:val="single" w:sz="8" w:space="0" w:color="auto"/>
            </w:tcBorders>
            <w:shd w:val="clear" w:color="000000" w:fill="FFFFFF"/>
            <w:noWrap/>
            <w:vAlign w:val="center"/>
            <w:hideMark/>
          </w:tcPr>
          <w:p w14:paraId="65A997B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r>
      <w:tr w:rsidR="007C12C3" w:rsidRPr="00A92936" w14:paraId="4224E2F0" w14:textId="77777777" w:rsidTr="007C12C3">
        <w:trPr>
          <w:trHeight w:val="465"/>
          <w:jc w:val="center"/>
        </w:trPr>
        <w:tc>
          <w:tcPr>
            <w:tcW w:w="1008" w:type="dxa"/>
            <w:vMerge/>
            <w:tcBorders>
              <w:top w:val="nil"/>
              <w:left w:val="single" w:sz="8" w:space="0" w:color="auto"/>
              <w:bottom w:val="double" w:sz="6" w:space="0" w:color="000000"/>
              <w:right w:val="nil"/>
            </w:tcBorders>
            <w:vAlign w:val="center"/>
            <w:hideMark/>
          </w:tcPr>
          <w:p w14:paraId="23900F27"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double" w:sz="6" w:space="0" w:color="auto"/>
              <w:right w:val="nil"/>
            </w:tcBorders>
            <w:shd w:val="clear" w:color="000000" w:fill="FFFFFF"/>
            <w:vAlign w:val="center"/>
            <w:hideMark/>
          </w:tcPr>
          <w:p w14:paraId="68A20862"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1231" w:type="dxa"/>
            <w:tcBorders>
              <w:top w:val="nil"/>
              <w:left w:val="single" w:sz="8" w:space="0" w:color="auto"/>
              <w:bottom w:val="double" w:sz="6" w:space="0" w:color="auto"/>
              <w:right w:val="nil"/>
            </w:tcBorders>
            <w:shd w:val="clear" w:color="000000" w:fill="FFFFFF"/>
            <w:noWrap/>
            <w:vAlign w:val="center"/>
            <w:hideMark/>
          </w:tcPr>
          <w:p w14:paraId="2B2880C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744" w:type="dxa"/>
            <w:tcBorders>
              <w:top w:val="nil"/>
              <w:left w:val="nil"/>
              <w:bottom w:val="double" w:sz="6" w:space="0" w:color="auto"/>
              <w:right w:val="nil"/>
            </w:tcBorders>
            <w:shd w:val="clear" w:color="000000" w:fill="FFFFFF"/>
            <w:noWrap/>
            <w:vAlign w:val="center"/>
            <w:hideMark/>
          </w:tcPr>
          <w:p w14:paraId="4BE2133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813" w:type="dxa"/>
            <w:tcBorders>
              <w:top w:val="nil"/>
              <w:left w:val="nil"/>
              <w:bottom w:val="double" w:sz="6" w:space="0" w:color="auto"/>
              <w:right w:val="nil"/>
            </w:tcBorders>
            <w:shd w:val="clear" w:color="000000" w:fill="FFFFFF"/>
            <w:noWrap/>
            <w:vAlign w:val="center"/>
            <w:hideMark/>
          </w:tcPr>
          <w:p w14:paraId="3B07D72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755" w:type="dxa"/>
            <w:tcBorders>
              <w:top w:val="nil"/>
              <w:left w:val="nil"/>
              <w:bottom w:val="double" w:sz="6" w:space="0" w:color="auto"/>
              <w:right w:val="single" w:sz="8" w:space="0" w:color="auto"/>
            </w:tcBorders>
            <w:shd w:val="clear" w:color="000000" w:fill="FFFFFF"/>
            <w:noWrap/>
            <w:vAlign w:val="center"/>
            <w:hideMark/>
          </w:tcPr>
          <w:p w14:paraId="36D6F46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813" w:type="dxa"/>
            <w:tcBorders>
              <w:top w:val="nil"/>
              <w:left w:val="nil"/>
              <w:bottom w:val="double" w:sz="6" w:space="0" w:color="auto"/>
              <w:right w:val="nil"/>
            </w:tcBorders>
            <w:shd w:val="clear" w:color="000000" w:fill="FFFFFF"/>
            <w:noWrap/>
            <w:vAlign w:val="center"/>
            <w:hideMark/>
          </w:tcPr>
          <w:p w14:paraId="6F69D99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1.8</w:t>
            </w:r>
          </w:p>
        </w:tc>
        <w:tc>
          <w:tcPr>
            <w:tcW w:w="747" w:type="dxa"/>
            <w:tcBorders>
              <w:top w:val="nil"/>
              <w:left w:val="nil"/>
              <w:bottom w:val="double" w:sz="6" w:space="0" w:color="auto"/>
              <w:right w:val="nil"/>
            </w:tcBorders>
            <w:shd w:val="clear" w:color="000000" w:fill="FFFFFF"/>
            <w:noWrap/>
            <w:vAlign w:val="center"/>
            <w:hideMark/>
          </w:tcPr>
          <w:p w14:paraId="4ACD8A7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851" w:type="dxa"/>
            <w:tcBorders>
              <w:top w:val="nil"/>
              <w:left w:val="nil"/>
              <w:bottom w:val="double" w:sz="6" w:space="0" w:color="auto"/>
              <w:right w:val="nil"/>
            </w:tcBorders>
            <w:shd w:val="clear" w:color="000000" w:fill="FFFFFF"/>
            <w:noWrap/>
            <w:vAlign w:val="center"/>
            <w:hideMark/>
          </w:tcPr>
          <w:p w14:paraId="4A44CC0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744" w:type="dxa"/>
            <w:tcBorders>
              <w:top w:val="nil"/>
              <w:left w:val="nil"/>
              <w:bottom w:val="double" w:sz="6" w:space="0" w:color="auto"/>
              <w:right w:val="single" w:sz="8" w:space="0" w:color="auto"/>
            </w:tcBorders>
            <w:shd w:val="clear" w:color="000000" w:fill="FFFFFF"/>
            <w:noWrap/>
            <w:vAlign w:val="center"/>
            <w:hideMark/>
          </w:tcPr>
          <w:p w14:paraId="4C53B3C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r>
      <w:tr w:rsidR="007C12C3" w:rsidRPr="00A92936" w14:paraId="161D1D51" w14:textId="77777777" w:rsidTr="007C12C3">
        <w:trPr>
          <w:trHeight w:val="270"/>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1C22DE84"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jóvenes de 15 a 17 años</w:t>
            </w:r>
          </w:p>
        </w:tc>
        <w:tc>
          <w:tcPr>
            <w:tcW w:w="1817" w:type="dxa"/>
            <w:tcBorders>
              <w:top w:val="nil"/>
              <w:left w:val="nil"/>
              <w:bottom w:val="nil"/>
              <w:right w:val="nil"/>
            </w:tcBorders>
            <w:shd w:val="clear" w:color="000000" w:fill="FFFFFF"/>
            <w:vAlign w:val="center"/>
            <w:hideMark/>
          </w:tcPr>
          <w:p w14:paraId="00BF32D1"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1231" w:type="dxa"/>
            <w:tcBorders>
              <w:top w:val="nil"/>
              <w:left w:val="single" w:sz="8" w:space="0" w:color="auto"/>
              <w:bottom w:val="nil"/>
              <w:right w:val="nil"/>
            </w:tcBorders>
            <w:shd w:val="clear" w:color="000000" w:fill="FFFFFF"/>
            <w:noWrap/>
            <w:vAlign w:val="center"/>
            <w:hideMark/>
          </w:tcPr>
          <w:p w14:paraId="420D2CA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744" w:type="dxa"/>
            <w:tcBorders>
              <w:top w:val="nil"/>
              <w:left w:val="nil"/>
              <w:bottom w:val="nil"/>
              <w:right w:val="nil"/>
            </w:tcBorders>
            <w:shd w:val="clear" w:color="000000" w:fill="FFFFFF"/>
            <w:noWrap/>
            <w:vAlign w:val="center"/>
            <w:hideMark/>
          </w:tcPr>
          <w:p w14:paraId="0E75F8E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813" w:type="dxa"/>
            <w:tcBorders>
              <w:top w:val="nil"/>
              <w:left w:val="nil"/>
              <w:bottom w:val="nil"/>
              <w:right w:val="nil"/>
            </w:tcBorders>
            <w:shd w:val="clear" w:color="000000" w:fill="FFFFFF"/>
            <w:noWrap/>
            <w:vAlign w:val="center"/>
            <w:hideMark/>
          </w:tcPr>
          <w:p w14:paraId="5ED98D4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755" w:type="dxa"/>
            <w:tcBorders>
              <w:top w:val="nil"/>
              <w:left w:val="nil"/>
              <w:bottom w:val="nil"/>
              <w:right w:val="single" w:sz="8" w:space="0" w:color="auto"/>
            </w:tcBorders>
            <w:shd w:val="clear" w:color="000000" w:fill="FFFFFF"/>
            <w:noWrap/>
            <w:vAlign w:val="center"/>
            <w:hideMark/>
          </w:tcPr>
          <w:p w14:paraId="5B0CD55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13" w:type="dxa"/>
            <w:tcBorders>
              <w:top w:val="nil"/>
              <w:left w:val="nil"/>
              <w:bottom w:val="nil"/>
              <w:right w:val="nil"/>
            </w:tcBorders>
            <w:shd w:val="clear" w:color="000000" w:fill="FFFFFF"/>
            <w:noWrap/>
            <w:vAlign w:val="center"/>
            <w:hideMark/>
          </w:tcPr>
          <w:p w14:paraId="16609B6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2.1</w:t>
            </w:r>
          </w:p>
        </w:tc>
        <w:tc>
          <w:tcPr>
            <w:tcW w:w="747" w:type="dxa"/>
            <w:tcBorders>
              <w:top w:val="nil"/>
              <w:left w:val="nil"/>
              <w:bottom w:val="nil"/>
              <w:right w:val="nil"/>
            </w:tcBorders>
            <w:shd w:val="clear" w:color="000000" w:fill="FFFFFF"/>
            <w:noWrap/>
            <w:vAlign w:val="center"/>
            <w:hideMark/>
          </w:tcPr>
          <w:p w14:paraId="1336BED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851" w:type="dxa"/>
            <w:tcBorders>
              <w:top w:val="nil"/>
              <w:left w:val="nil"/>
              <w:bottom w:val="nil"/>
              <w:right w:val="nil"/>
            </w:tcBorders>
            <w:shd w:val="clear" w:color="000000" w:fill="FFFFFF"/>
            <w:noWrap/>
            <w:vAlign w:val="center"/>
            <w:hideMark/>
          </w:tcPr>
          <w:p w14:paraId="36444B0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744" w:type="dxa"/>
            <w:tcBorders>
              <w:top w:val="nil"/>
              <w:left w:val="nil"/>
              <w:bottom w:val="nil"/>
              <w:right w:val="single" w:sz="8" w:space="0" w:color="auto"/>
            </w:tcBorders>
            <w:shd w:val="clear" w:color="000000" w:fill="FFFFFF"/>
            <w:noWrap/>
            <w:vAlign w:val="center"/>
            <w:hideMark/>
          </w:tcPr>
          <w:p w14:paraId="74FFD86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r>
      <w:tr w:rsidR="007C12C3" w:rsidRPr="00A92936" w14:paraId="218CED38"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75FA6DAF"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234EDACC"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1231" w:type="dxa"/>
            <w:tcBorders>
              <w:top w:val="nil"/>
              <w:left w:val="single" w:sz="8" w:space="0" w:color="auto"/>
              <w:bottom w:val="nil"/>
              <w:right w:val="nil"/>
            </w:tcBorders>
            <w:shd w:val="clear" w:color="000000" w:fill="FFFFFF"/>
            <w:noWrap/>
            <w:vAlign w:val="center"/>
            <w:hideMark/>
          </w:tcPr>
          <w:p w14:paraId="232C8047"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0.4</w:t>
            </w:r>
          </w:p>
        </w:tc>
        <w:tc>
          <w:tcPr>
            <w:tcW w:w="744" w:type="dxa"/>
            <w:tcBorders>
              <w:top w:val="nil"/>
              <w:left w:val="nil"/>
              <w:bottom w:val="nil"/>
              <w:right w:val="nil"/>
            </w:tcBorders>
            <w:shd w:val="clear" w:color="000000" w:fill="FFFFFF"/>
            <w:noWrap/>
            <w:vAlign w:val="center"/>
            <w:hideMark/>
          </w:tcPr>
          <w:p w14:paraId="7D41F82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813" w:type="dxa"/>
            <w:tcBorders>
              <w:top w:val="nil"/>
              <w:left w:val="nil"/>
              <w:bottom w:val="nil"/>
              <w:right w:val="nil"/>
            </w:tcBorders>
            <w:shd w:val="clear" w:color="000000" w:fill="FFFFFF"/>
            <w:noWrap/>
            <w:vAlign w:val="center"/>
            <w:hideMark/>
          </w:tcPr>
          <w:p w14:paraId="66DA2AF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755" w:type="dxa"/>
            <w:tcBorders>
              <w:top w:val="nil"/>
              <w:left w:val="nil"/>
              <w:bottom w:val="nil"/>
              <w:right w:val="single" w:sz="8" w:space="0" w:color="auto"/>
            </w:tcBorders>
            <w:shd w:val="clear" w:color="000000" w:fill="FFFFFF"/>
            <w:noWrap/>
            <w:vAlign w:val="center"/>
            <w:hideMark/>
          </w:tcPr>
          <w:p w14:paraId="5AAF192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813" w:type="dxa"/>
            <w:tcBorders>
              <w:top w:val="nil"/>
              <w:left w:val="nil"/>
              <w:bottom w:val="nil"/>
              <w:right w:val="nil"/>
            </w:tcBorders>
            <w:shd w:val="clear" w:color="000000" w:fill="FFFFFF"/>
            <w:noWrap/>
            <w:vAlign w:val="center"/>
            <w:hideMark/>
          </w:tcPr>
          <w:p w14:paraId="0A63C0D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747" w:type="dxa"/>
            <w:tcBorders>
              <w:top w:val="nil"/>
              <w:left w:val="nil"/>
              <w:bottom w:val="nil"/>
              <w:right w:val="nil"/>
            </w:tcBorders>
            <w:shd w:val="clear" w:color="000000" w:fill="FFFFFF"/>
            <w:noWrap/>
            <w:vAlign w:val="center"/>
            <w:hideMark/>
          </w:tcPr>
          <w:p w14:paraId="2FE98DE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0.3</w:t>
            </w:r>
          </w:p>
        </w:tc>
        <w:tc>
          <w:tcPr>
            <w:tcW w:w="851" w:type="dxa"/>
            <w:tcBorders>
              <w:top w:val="nil"/>
              <w:left w:val="nil"/>
              <w:bottom w:val="nil"/>
              <w:right w:val="nil"/>
            </w:tcBorders>
            <w:shd w:val="clear" w:color="000000" w:fill="FFFFFF"/>
            <w:noWrap/>
            <w:vAlign w:val="center"/>
            <w:hideMark/>
          </w:tcPr>
          <w:p w14:paraId="2DF5F80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744" w:type="dxa"/>
            <w:tcBorders>
              <w:top w:val="nil"/>
              <w:left w:val="nil"/>
              <w:bottom w:val="nil"/>
              <w:right w:val="single" w:sz="8" w:space="0" w:color="auto"/>
            </w:tcBorders>
            <w:shd w:val="clear" w:color="000000" w:fill="FFFFFF"/>
            <w:noWrap/>
            <w:vAlign w:val="center"/>
            <w:hideMark/>
          </w:tcPr>
          <w:p w14:paraId="5038792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r>
      <w:tr w:rsidR="007C12C3" w:rsidRPr="00A92936" w14:paraId="198721D4"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36753039"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48C7BAFF"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1231" w:type="dxa"/>
            <w:tcBorders>
              <w:top w:val="nil"/>
              <w:left w:val="single" w:sz="8" w:space="0" w:color="auto"/>
              <w:bottom w:val="nil"/>
              <w:right w:val="nil"/>
            </w:tcBorders>
            <w:shd w:val="clear" w:color="000000" w:fill="FFFFFF"/>
            <w:noWrap/>
            <w:vAlign w:val="center"/>
            <w:hideMark/>
          </w:tcPr>
          <w:p w14:paraId="315D9CA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744" w:type="dxa"/>
            <w:tcBorders>
              <w:top w:val="nil"/>
              <w:left w:val="nil"/>
              <w:bottom w:val="nil"/>
              <w:right w:val="nil"/>
            </w:tcBorders>
            <w:shd w:val="clear" w:color="000000" w:fill="FFFFFF"/>
            <w:noWrap/>
            <w:vAlign w:val="center"/>
            <w:hideMark/>
          </w:tcPr>
          <w:p w14:paraId="6F4EBE1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813" w:type="dxa"/>
            <w:tcBorders>
              <w:top w:val="nil"/>
              <w:left w:val="nil"/>
              <w:bottom w:val="nil"/>
              <w:right w:val="nil"/>
            </w:tcBorders>
            <w:shd w:val="clear" w:color="000000" w:fill="FFFFFF"/>
            <w:noWrap/>
            <w:vAlign w:val="center"/>
            <w:hideMark/>
          </w:tcPr>
          <w:p w14:paraId="3ADEED3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755" w:type="dxa"/>
            <w:tcBorders>
              <w:top w:val="nil"/>
              <w:left w:val="nil"/>
              <w:bottom w:val="nil"/>
              <w:right w:val="single" w:sz="8" w:space="0" w:color="auto"/>
            </w:tcBorders>
            <w:shd w:val="clear" w:color="000000" w:fill="FFFFFF"/>
            <w:noWrap/>
            <w:vAlign w:val="center"/>
            <w:hideMark/>
          </w:tcPr>
          <w:p w14:paraId="153E483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813" w:type="dxa"/>
            <w:tcBorders>
              <w:top w:val="nil"/>
              <w:left w:val="nil"/>
              <w:bottom w:val="nil"/>
              <w:right w:val="nil"/>
            </w:tcBorders>
            <w:shd w:val="clear" w:color="000000" w:fill="FFFFFF"/>
            <w:noWrap/>
            <w:vAlign w:val="center"/>
            <w:hideMark/>
          </w:tcPr>
          <w:p w14:paraId="11664B6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747" w:type="dxa"/>
            <w:tcBorders>
              <w:top w:val="nil"/>
              <w:left w:val="nil"/>
              <w:bottom w:val="nil"/>
              <w:right w:val="nil"/>
            </w:tcBorders>
            <w:shd w:val="clear" w:color="000000" w:fill="FFFFFF"/>
            <w:noWrap/>
            <w:vAlign w:val="center"/>
            <w:hideMark/>
          </w:tcPr>
          <w:p w14:paraId="1C66FF2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851" w:type="dxa"/>
            <w:tcBorders>
              <w:top w:val="nil"/>
              <w:left w:val="nil"/>
              <w:bottom w:val="nil"/>
              <w:right w:val="nil"/>
            </w:tcBorders>
            <w:shd w:val="clear" w:color="000000" w:fill="FFFFFF"/>
            <w:noWrap/>
            <w:vAlign w:val="center"/>
            <w:hideMark/>
          </w:tcPr>
          <w:p w14:paraId="3656CA5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744" w:type="dxa"/>
            <w:tcBorders>
              <w:top w:val="nil"/>
              <w:left w:val="nil"/>
              <w:bottom w:val="nil"/>
              <w:right w:val="single" w:sz="8" w:space="0" w:color="auto"/>
            </w:tcBorders>
            <w:shd w:val="clear" w:color="000000" w:fill="FFFFFF"/>
            <w:noWrap/>
            <w:vAlign w:val="center"/>
            <w:hideMark/>
          </w:tcPr>
          <w:p w14:paraId="3A9C4EC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r>
      <w:tr w:rsidR="007C12C3" w:rsidRPr="00A92936" w14:paraId="42100CAD"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70298D51"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051F4B53"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1231" w:type="dxa"/>
            <w:tcBorders>
              <w:top w:val="nil"/>
              <w:left w:val="single" w:sz="8" w:space="0" w:color="auto"/>
              <w:bottom w:val="nil"/>
              <w:right w:val="nil"/>
            </w:tcBorders>
            <w:shd w:val="clear" w:color="000000" w:fill="FFFFFF"/>
            <w:noWrap/>
            <w:vAlign w:val="center"/>
            <w:hideMark/>
          </w:tcPr>
          <w:p w14:paraId="1C995C0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744" w:type="dxa"/>
            <w:tcBorders>
              <w:top w:val="nil"/>
              <w:left w:val="nil"/>
              <w:bottom w:val="nil"/>
              <w:right w:val="nil"/>
            </w:tcBorders>
            <w:shd w:val="clear" w:color="000000" w:fill="FFFFFF"/>
            <w:noWrap/>
            <w:vAlign w:val="center"/>
            <w:hideMark/>
          </w:tcPr>
          <w:p w14:paraId="426C978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0.7</w:t>
            </w:r>
          </w:p>
        </w:tc>
        <w:tc>
          <w:tcPr>
            <w:tcW w:w="813" w:type="dxa"/>
            <w:tcBorders>
              <w:top w:val="nil"/>
              <w:left w:val="nil"/>
              <w:bottom w:val="nil"/>
              <w:right w:val="nil"/>
            </w:tcBorders>
            <w:shd w:val="clear" w:color="000000" w:fill="FFFFFF"/>
            <w:noWrap/>
            <w:vAlign w:val="center"/>
            <w:hideMark/>
          </w:tcPr>
          <w:p w14:paraId="5AFE73E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755" w:type="dxa"/>
            <w:tcBorders>
              <w:top w:val="nil"/>
              <w:left w:val="nil"/>
              <w:bottom w:val="nil"/>
              <w:right w:val="single" w:sz="8" w:space="0" w:color="auto"/>
            </w:tcBorders>
            <w:shd w:val="clear" w:color="000000" w:fill="FFFFFF"/>
            <w:noWrap/>
            <w:vAlign w:val="center"/>
            <w:hideMark/>
          </w:tcPr>
          <w:p w14:paraId="6EB15EE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813" w:type="dxa"/>
            <w:tcBorders>
              <w:top w:val="nil"/>
              <w:left w:val="nil"/>
              <w:bottom w:val="nil"/>
              <w:right w:val="nil"/>
            </w:tcBorders>
            <w:shd w:val="clear" w:color="000000" w:fill="FFFFFF"/>
            <w:noWrap/>
            <w:vAlign w:val="center"/>
            <w:hideMark/>
          </w:tcPr>
          <w:p w14:paraId="259292A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747" w:type="dxa"/>
            <w:tcBorders>
              <w:top w:val="nil"/>
              <w:left w:val="nil"/>
              <w:bottom w:val="nil"/>
              <w:right w:val="nil"/>
            </w:tcBorders>
            <w:shd w:val="clear" w:color="000000" w:fill="FFFFFF"/>
            <w:noWrap/>
            <w:vAlign w:val="center"/>
            <w:hideMark/>
          </w:tcPr>
          <w:p w14:paraId="0311805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851" w:type="dxa"/>
            <w:tcBorders>
              <w:top w:val="nil"/>
              <w:left w:val="nil"/>
              <w:bottom w:val="nil"/>
              <w:right w:val="nil"/>
            </w:tcBorders>
            <w:shd w:val="clear" w:color="000000" w:fill="FFFFFF"/>
            <w:noWrap/>
            <w:vAlign w:val="center"/>
            <w:hideMark/>
          </w:tcPr>
          <w:p w14:paraId="51764C3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44" w:type="dxa"/>
            <w:tcBorders>
              <w:top w:val="nil"/>
              <w:left w:val="nil"/>
              <w:bottom w:val="nil"/>
              <w:right w:val="single" w:sz="8" w:space="0" w:color="auto"/>
            </w:tcBorders>
            <w:shd w:val="clear" w:color="000000" w:fill="FFFFFF"/>
            <w:noWrap/>
            <w:vAlign w:val="center"/>
            <w:hideMark/>
          </w:tcPr>
          <w:p w14:paraId="4257EC4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r>
      <w:tr w:rsidR="007C12C3" w:rsidRPr="00A92936" w14:paraId="59761771" w14:textId="77777777" w:rsidTr="007C12C3">
        <w:trPr>
          <w:trHeight w:val="465"/>
          <w:jc w:val="center"/>
        </w:trPr>
        <w:tc>
          <w:tcPr>
            <w:tcW w:w="1008" w:type="dxa"/>
            <w:vMerge/>
            <w:tcBorders>
              <w:top w:val="nil"/>
              <w:left w:val="single" w:sz="8" w:space="0" w:color="auto"/>
              <w:bottom w:val="double" w:sz="6" w:space="0" w:color="000000"/>
              <w:right w:val="nil"/>
            </w:tcBorders>
            <w:vAlign w:val="center"/>
            <w:hideMark/>
          </w:tcPr>
          <w:p w14:paraId="7CC31B1E"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double" w:sz="6" w:space="0" w:color="auto"/>
              <w:right w:val="nil"/>
            </w:tcBorders>
            <w:shd w:val="clear" w:color="000000" w:fill="FFFFFF"/>
            <w:vAlign w:val="center"/>
            <w:hideMark/>
          </w:tcPr>
          <w:p w14:paraId="63F438AB"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1231" w:type="dxa"/>
            <w:tcBorders>
              <w:top w:val="nil"/>
              <w:left w:val="single" w:sz="8" w:space="0" w:color="auto"/>
              <w:bottom w:val="double" w:sz="6" w:space="0" w:color="auto"/>
              <w:right w:val="nil"/>
            </w:tcBorders>
            <w:shd w:val="clear" w:color="000000" w:fill="FFFFFF"/>
            <w:noWrap/>
            <w:vAlign w:val="center"/>
            <w:hideMark/>
          </w:tcPr>
          <w:p w14:paraId="2B2EF22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2.5</w:t>
            </w:r>
          </w:p>
        </w:tc>
        <w:tc>
          <w:tcPr>
            <w:tcW w:w="744" w:type="dxa"/>
            <w:tcBorders>
              <w:top w:val="nil"/>
              <w:left w:val="nil"/>
              <w:bottom w:val="double" w:sz="6" w:space="0" w:color="auto"/>
              <w:right w:val="nil"/>
            </w:tcBorders>
            <w:shd w:val="clear" w:color="000000" w:fill="FFFFFF"/>
            <w:noWrap/>
            <w:vAlign w:val="center"/>
            <w:hideMark/>
          </w:tcPr>
          <w:p w14:paraId="430DA46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813" w:type="dxa"/>
            <w:tcBorders>
              <w:top w:val="nil"/>
              <w:left w:val="nil"/>
              <w:bottom w:val="double" w:sz="6" w:space="0" w:color="auto"/>
              <w:right w:val="nil"/>
            </w:tcBorders>
            <w:shd w:val="clear" w:color="000000" w:fill="FFFFFF"/>
            <w:noWrap/>
            <w:vAlign w:val="center"/>
            <w:hideMark/>
          </w:tcPr>
          <w:p w14:paraId="7D69E20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55" w:type="dxa"/>
            <w:tcBorders>
              <w:top w:val="nil"/>
              <w:left w:val="nil"/>
              <w:bottom w:val="double" w:sz="6" w:space="0" w:color="auto"/>
              <w:right w:val="single" w:sz="8" w:space="0" w:color="auto"/>
            </w:tcBorders>
            <w:shd w:val="clear" w:color="000000" w:fill="FFFFFF"/>
            <w:noWrap/>
            <w:vAlign w:val="center"/>
            <w:hideMark/>
          </w:tcPr>
          <w:p w14:paraId="62103C9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813" w:type="dxa"/>
            <w:tcBorders>
              <w:top w:val="nil"/>
              <w:left w:val="nil"/>
              <w:bottom w:val="double" w:sz="6" w:space="0" w:color="auto"/>
              <w:right w:val="nil"/>
            </w:tcBorders>
            <w:shd w:val="clear" w:color="000000" w:fill="FFFFFF"/>
            <w:noWrap/>
            <w:vAlign w:val="center"/>
            <w:hideMark/>
          </w:tcPr>
          <w:p w14:paraId="23F1735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3.1</w:t>
            </w:r>
          </w:p>
        </w:tc>
        <w:tc>
          <w:tcPr>
            <w:tcW w:w="747" w:type="dxa"/>
            <w:tcBorders>
              <w:top w:val="nil"/>
              <w:left w:val="nil"/>
              <w:bottom w:val="double" w:sz="6" w:space="0" w:color="auto"/>
              <w:right w:val="nil"/>
            </w:tcBorders>
            <w:shd w:val="clear" w:color="000000" w:fill="FFFFFF"/>
            <w:noWrap/>
            <w:vAlign w:val="center"/>
            <w:hideMark/>
          </w:tcPr>
          <w:p w14:paraId="00E31F4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851" w:type="dxa"/>
            <w:tcBorders>
              <w:top w:val="nil"/>
              <w:left w:val="nil"/>
              <w:bottom w:val="double" w:sz="6" w:space="0" w:color="auto"/>
              <w:right w:val="nil"/>
            </w:tcBorders>
            <w:shd w:val="clear" w:color="000000" w:fill="FFFFFF"/>
            <w:noWrap/>
            <w:vAlign w:val="center"/>
            <w:hideMark/>
          </w:tcPr>
          <w:p w14:paraId="2432FF7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2.1</w:t>
            </w:r>
          </w:p>
        </w:tc>
        <w:tc>
          <w:tcPr>
            <w:tcW w:w="744" w:type="dxa"/>
            <w:tcBorders>
              <w:top w:val="nil"/>
              <w:left w:val="nil"/>
              <w:bottom w:val="double" w:sz="6" w:space="0" w:color="auto"/>
              <w:right w:val="single" w:sz="8" w:space="0" w:color="auto"/>
            </w:tcBorders>
            <w:shd w:val="clear" w:color="000000" w:fill="FFFFFF"/>
            <w:noWrap/>
            <w:vAlign w:val="center"/>
            <w:hideMark/>
          </w:tcPr>
          <w:p w14:paraId="537F65E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r>
      <w:tr w:rsidR="007C12C3" w:rsidRPr="00A92936" w14:paraId="526D6620" w14:textId="77777777" w:rsidTr="007C12C3">
        <w:trPr>
          <w:trHeight w:val="270"/>
          <w:jc w:val="center"/>
        </w:trPr>
        <w:tc>
          <w:tcPr>
            <w:tcW w:w="1008" w:type="dxa"/>
            <w:vMerge w:val="restart"/>
            <w:tcBorders>
              <w:top w:val="nil"/>
              <w:left w:val="single" w:sz="8" w:space="0" w:color="auto"/>
              <w:bottom w:val="double" w:sz="6" w:space="0" w:color="000000"/>
              <w:right w:val="nil"/>
            </w:tcBorders>
            <w:shd w:val="clear" w:color="000000" w:fill="FFFFFF"/>
            <w:vAlign w:val="center"/>
            <w:hideMark/>
          </w:tcPr>
          <w:p w14:paraId="226E2038" w14:textId="77777777" w:rsidR="00A92936" w:rsidRPr="00A92936" w:rsidRDefault="00A92936" w:rsidP="00A92936">
            <w:pPr>
              <w:spacing w:after="0" w:line="240" w:lineRule="auto"/>
              <w:jc w:val="center"/>
              <w:rPr>
                <w:rFonts w:ascii="Calibri" w:eastAsia="Times New Roman" w:hAnsi="Calibri" w:cs="Calibri"/>
                <w:b/>
                <w:bCs/>
                <w:sz w:val="16"/>
                <w:szCs w:val="16"/>
                <w:lang w:eastAsia="es-MX"/>
              </w:rPr>
            </w:pPr>
            <w:r w:rsidRPr="00A92936">
              <w:rPr>
                <w:rFonts w:ascii="Calibri" w:eastAsia="Times New Roman" w:hAnsi="Calibri" w:cs="Calibri"/>
                <w:b/>
                <w:bCs/>
                <w:sz w:val="16"/>
                <w:szCs w:val="16"/>
                <w:lang w:eastAsia="es-MX"/>
              </w:rPr>
              <w:t>Hogares con jóvenes de 18 a 22 años</w:t>
            </w:r>
          </w:p>
        </w:tc>
        <w:tc>
          <w:tcPr>
            <w:tcW w:w="1817" w:type="dxa"/>
            <w:tcBorders>
              <w:top w:val="nil"/>
              <w:left w:val="nil"/>
              <w:bottom w:val="nil"/>
              <w:right w:val="nil"/>
            </w:tcBorders>
            <w:shd w:val="clear" w:color="000000" w:fill="FFFFFF"/>
            <w:vAlign w:val="center"/>
            <w:hideMark/>
          </w:tcPr>
          <w:p w14:paraId="75D6D9D5"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Nacional</w:t>
            </w:r>
          </w:p>
        </w:tc>
        <w:tc>
          <w:tcPr>
            <w:tcW w:w="1231" w:type="dxa"/>
            <w:tcBorders>
              <w:top w:val="nil"/>
              <w:left w:val="single" w:sz="8" w:space="0" w:color="auto"/>
              <w:bottom w:val="nil"/>
              <w:right w:val="nil"/>
            </w:tcBorders>
            <w:shd w:val="clear" w:color="000000" w:fill="FFFFFF"/>
            <w:noWrap/>
            <w:vAlign w:val="center"/>
            <w:hideMark/>
          </w:tcPr>
          <w:p w14:paraId="4E6FCA3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744" w:type="dxa"/>
            <w:tcBorders>
              <w:top w:val="nil"/>
              <w:left w:val="nil"/>
              <w:bottom w:val="nil"/>
              <w:right w:val="nil"/>
            </w:tcBorders>
            <w:shd w:val="clear" w:color="000000" w:fill="FFFFFF"/>
            <w:noWrap/>
            <w:vAlign w:val="center"/>
            <w:hideMark/>
          </w:tcPr>
          <w:p w14:paraId="31AEB51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13" w:type="dxa"/>
            <w:tcBorders>
              <w:top w:val="nil"/>
              <w:left w:val="nil"/>
              <w:bottom w:val="nil"/>
              <w:right w:val="nil"/>
            </w:tcBorders>
            <w:shd w:val="clear" w:color="000000" w:fill="FFFFFF"/>
            <w:noWrap/>
            <w:vAlign w:val="center"/>
            <w:hideMark/>
          </w:tcPr>
          <w:p w14:paraId="16671EC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55" w:type="dxa"/>
            <w:tcBorders>
              <w:top w:val="nil"/>
              <w:left w:val="nil"/>
              <w:bottom w:val="nil"/>
              <w:right w:val="single" w:sz="8" w:space="0" w:color="auto"/>
            </w:tcBorders>
            <w:shd w:val="clear" w:color="000000" w:fill="FFFFFF"/>
            <w:noWrap/>
            <w:vAlign w:val="center"/>
            <w:hideMark/>
          </w:tcPr>
          <w:p w14:paraId="0D13D0A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813" w:type="dxa"/>
            <w:tcBorders>
              <w:top w:val="nil"/>
              <w:left w:val="nil"/>
              <w:bottom w:val="nil"/>
              <w:right w:val="nil"/>
            </w:tcBorders>
            <w:shd w:val="clear" w:color="000000" w:fill="FFFFFF"/>
            <w:noWrap/>
            <w:vAlign w:val="center"/>
            <w:hideMark/>
          </w:tcPr>
          <w:p w14:paraId="4C3901F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c>
          <w:tcPr>
            <w:tcW w:w="747" w:type="dxa"/>
            <w:tcBorders>
              <w:top w:val="nil"/>
              <w:left w:val="nil"/>
              <w:bottom w:val="nil"/>
              <w:right w:val="nil"/>
            </w:tcBorders>
            <w:shd w:val="clear" w:color="000000" w:fill="FFFFFF"/>
            <w:noWrap/>
            <w:vAlign w:val="center"/>
            <w:hideMark/>
          </w:tcPr>
          <w:p w14:paraId="420C61E1"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c>
          <w:tcPr>
            <w:tcW w:w="851" w:type="dxa"/>
            <w:tcBorders>
              <w:top w:val="nil"/>
              <w:left w:val="nil"/>
              <w:bottom w:val="nil"/>
              <w:right w:val="nil"/>
            </w:tcBorders>
            <w:shd w:val="clear" w:color="000000" w:fill="FFFFFF"/>
            <w:noWrap/>
            <w:vAlign w:val="center"/>
            <w:hideMark/>
          </w:tcPr>
          <w:p w14:paraId="7013BAB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1.9</w:t>
            </w:r>
          </w:p>
        </w:tc>
        <w:tc>
          <w:tcPr>
            <w:tcW w:w="744" w:type="dxa"/>
            <w:tcBorders>
              <w:top w:val="nil"/>
              <w:left w:val="nil"/>
              <w:bottom w:val="nil"/>
              <w:right w:val="single" w:sz="8" w:space="0" w:color="auto"/>
            </w:tcBorders>
            <w:shd w:val="clear" w:color="000000" w:fill="FFFFFF"/>
            <w:noWrap/>
            <w:vAlign w:val="center"/>
            <w:hideMark/>
          </w:tcPr>
          <w:p w14:paraId="3FEF17B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1.5</w:t>
            </w:r>
          </w:p>
        </w:tc>
      </w:tr>
      <w:tr w:rsidR="007C12C3" w:rsidRPr="00A92936" w14:paraId="757CA98F"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49F3BEA1"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26E4FAA2"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&lt;2,500 habs.</w:t>
            </w:r>
          </w:p>
        </w:tc>
        <w:tc>
          <w:tcPr>
            <w:tcW w:w="1231" w:type="dxa"/>
            <w:tcBorders>
              <w:top w:val="nil"/>
              <w:left w:val="single" w:sz="8" w:space="0" w:color="auto"/>
              <w:bottom w:val="nil"/>
              <w:right w:val="nil"/>
            </w:tcBorders>
            <w:shd w:val="clear" w:color="000000" w:fill="FFFFFF"/>
            <w:noWrap/>
            <w:vAlign w:val="center"/>
            <w:hideMark/>
          </w:tcPr>
          <w:p w14:paraId="396FF20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0.4</w:t>
            </w:r>
          </w:p>
        </w:tc>
        <w:tc>
          <w:tcPr>
            <w:tcW w:w="744" w:type="dxa"/>
            <w:tcBorders>
              <w:top w:val="nil"/>
              <w:left w:val="nil"/>
              <w:bottom w:val="nil"/>
              <w:right w:val="nil"/>
            </w:tcBorders>
            <w:shd w:val="clear" w:color="000000" w:fill="FFFFFF"/>
            <w:noWrap/>
            <w:vAlign w:val="center"/>
            <w:hideMark/>
          </w:tcPr>
          <w:p w14:paraId="16A4632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0.4</w:t>
            </w:r>
          </w:p>
        </w:tc>
        <w:tc>
          <w:tcPr>
            <w:tcW w:w="813" w:type="dxa"/>
            <w:tcBorders>
              <w:top w:val="nil"/>
              <w:left w:val="nil"/>
              <w:bottom w:val="nil"/>
              <w:right w:val="nil"/>
            </w:tcBorders>
            <w:shd w:val="clear" w:color="000000" w:fill="FFFFFF"/>
            <w:noWrap/>
            <w:vAlign w:val="center"/>
            <w:hideMark/>
          </w:tcPr>
          <w:p w14:paraId="3B7C0DD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c>
          <w:tcPr>
            <w:tcW w:w="755" w:type="dxa"/>
            <w:tcBorders>
              <w:top w:val="nil"/>
              <w:left w:val="nil"/>
              <w:bottom w:val="nil"/>
              <w:right w:val="single" w:sz="8" w:space="0" w:color="auto"/>
            </w:tcBorders>
            <w:shd w:val="clear" w:color="000000" w:fill="FFFFFF"/>
            <w:noWrap/>
            <w:vAlign w:val="center"/>
            <w:hideMark/>
          </w:tcPr>
          <w:p w14:paraId="212B6F3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813" w:type="dxa"/>
            <w:tcBorders>
              <w:top w:val="nil"/>
              <w:left w:val="nil"/>
              <w:bottom w:val="nil"/>
              <w:right w:val="nil"/>
            </w:tcBorders>
            <w:shd w:val="clear" w:color="000000" w:fill="FFFFFF"/>
            <w:noWrap/>
            <w:vAlign w:val="center"/>
            <w:hideMark/>
          </w:tcPr>
          <w:p w14:paraId="1A5715E2"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747" w:type="dxa"/>
            <w:tcBorders>
              <w:top w:val="nil"/>
              <w:left w:val="nil"/>
              <w:bottom w:val="nil"/>
              <w:right w:val="nil"/>
            </w:tcBorders>
            <w:shd w:val="clear" w:color="000000" w:fill="FFFFFF"/>
            <w:noWrap/>
            <w:vAlign w:val="center"/>
            <w:hideMark/>
          </w:tcPr>
          <w:p w14:paraId="19EF44B6"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0.5</w:t>
            </w:r>
          </w:p>
        </w:tc>
        <w:tc>
          <w:tcPr>
            <w:tcW w:w="851" w:type="dxa"/>
            <w:tcBorders>
              <w:top w:val="nil"/>
              <w:left w:val="nil"/>
              <w:bottom w:val="nil"/>
              <w:right w:val="nil"/>
            </w:tcBorders>
            <w:shd w:val="clear" w:color="000000" w:fill="FFFFFF"/>
            <w:noWrap/>
            <w:vAlign w:val="center"/>
            <w:hideMark/>
          </w:tcPr>
          <w:p w14:paraId="0B2BCA25"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744" w:type="dxa"/>
            <w:tcBorders>
              <w:top w:val="nil"/>
              <w:left w:val="nil"/>
              <w:bottom w:val="nil"/>
              <w:right w:val="single" w:sz="8" w:space="0" w:color="auto"/>
            </w:tcBorders>
            <w:shd w:val="clear" w:color="000000" w:fill="FFFFFF"/>
            <w:noWrap/>
            <w:vAlign w:val="center"/>
            <w:hideMark/>
          </w:tcPr>
          <w:p w14:paraId="29F6A09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r>
      <w:tr w:rsidR="007C12C3" w:rsidRPr="00A92936" w14:paraId="6994DB38"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4A81BCD3"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6E35B774"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2,500 a 14,999 habitantes</w:t>
            </w:r>
          </w:p>
        </w:tc>
        <w:tc>
          <w:tcPr>
            <w:tcW w:w="1231" w:type="dxa"/>
            <w:tcBorders>
              <w:top w:val="nil"/>
              <w:left w:val="single" w:sz="8" w:space="0" w:color="auto"/>
              <w:bottom w:val="nil"/>
              <w:right w:val="nil"/>
            </w:tcBorders>
            <w:shd w:val="clear" w:color="000000" w:fill="FFFFFF"/>
            <w:noWrap/>
            <w:vAlign w:val="center"/>
            <w:hideMark/>
          </w:tcPr>
          <w:p w14:paraId="1DCBBDF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744" w:type="dxa"/>
            <w:tcBorders>
              <w:top w:val="nil"/>
              <w:left w:val="nil"/>
              <w:bottom w:val="nil"/>
              <w:right w:val="nil"/>
            </w:tcBorders>
            <w:shd w:val="clear" w:color="000000" w:fill="FFFFFF"/>
            <w:noWrap/>
            <w:vAlign w:val="center"/>
            <w:hideMark/>
          </w:tcPr>
          <w:p w14:paraId="2C42E0D4"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813" w:type="dxa"/>
            <w:tcBorders>
              <w:top w:val="nil"/>
              <w:left w:val="nil"/>
              <w:bottom w:val="nil"/>
              <w:right w:val="nil"/>
            </w:tcBorders>
            <w:shd w:val="clear" w:color="000000" w:fill="FFFFFF"/>
            <w:noWrap/>
            <w:vAlign w:val="center"/>
            <w:hideMark/>
          </w:tcPr>
          <w:p w14:paraId="1CB7FEC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755" w:type="dxa"/>
            <w:tcBorders>
              <w:top w:val="nil"/>
              <w:left w:val="nil"/>
              <w:bottom w:val="nil"/>
              <w:right w:val="single" w:sz="8" w:space="0" w:color="auto"/>
            </w:tcBorders>
            <w:shd w:val="clear" w:color="000000" w:fill="FFFFFF"/>
            <w:noWrap/>
            <w:vAlign w:val="center"/>
            <w:hideMark/>
          </w:tcPr>
          <w:p w14:paraId="59B6095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813" w:type="dxa"/>
            <w:tcBorders>
              <w:top w:val="nil"/>
              <w:left w:val="nil"/>
              <w:bottom w:val="nil"/>
              <w:right w:val="nil"/>
            </w:tcBorders>
            <w:shd w:val="clear" w:color="000000" w:fill="FFFFFF"/>
            <w:noWrap/>
            <w:vAlign w:val="center"/>
            <w:hideMark/>
          </w:tcPr>
          <w:p w14:paraId="3791EBE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0.6</w:t>
            </w:r>
          </w:p>
        </w:tc>
        <w:tc>
          <w:tcPr>
            <w:tcW w:w="747" w:type="dxa"/>
            <w:tcBorders>
              <w:top w:val="nil"/>
              <w:left w:val="nil"/>
              <w:bottom w:val="nil"/>
              <w:right w:val="nil"/>
            </w:tcBorders>
            <w:shd w:val="clear" w:color="000000" w:fill="FFFFFF"/>
            <w:noWrap/>
            <w:vAlign w:val="center"/>
            <w:hideMark/>
          </w:tcPr>
          <w:p w14:paraId="7414FDA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0.8</w:t>
            </w:r>
          </w:p>
        </w:tc>
        <w:tc>
          <w:tcPr>
            <w:tcW w:w="851" w:type="dxa"/>
            <w:tcBorders>
              <w:top w:val="nil"/>
              <w:left w:val="nil"/>
              <w:bottom w:val="nil"/>
              <w:right w:val="nil"/>
            </w:tcBorders>
            <w:shd w:val="clear" w:color="000000" w:fill="FFFFFF"/>
            <w:noWrap/>
            <w:vAlign w:val="center"/>
            <w:hideMark/>
          </w:tcPr>
          <w:p w14:paraId="6454A51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744" w:type="dxa"/>
            <w:tcBorders>
              <w:top w:val="nil"/>
              <w:left w:val="nil"/>
              <w:bottom w:val="nil"/>
              <w:right w:val="single" w:sz="8" w:space="0" w:color="auto"/>
            </w:tcBorders>
            <w:shd w:val="clear" w:color="000000" w:fill="FFFFFF"/>
            <w:noWrap/>
            <w:vAlign w:val="center"/>
            <w:hideMark/>
          </w:tcPr>
          <w:p w14:paraId="1E4F76F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1.0</w:t>
            </w:r>
          </w:p>
        </w:tc>
      </w:tr>
      <w:tr w:rsidR="007C12C3" w:rsidRPr="00A92936" w14:paraId="3331D672" w14:textId="77777777" w:rsidTr="007C12C3">
        <w:trPr>
          <w:trHeight w:val="450"/>
          <w:jc w:val="center"/>
        </w:trPr>
        <w:tc>
          <w:tcPr>
            <w:tcW w:w="1008" w:type="dxa"/>
            <w:vMerge/>
            <w:tcBorders>
              <w:top w:val="nil"/>
              <w:left w:val="single" w:sz="8" w:space="0" w:color="auto"/>
              <w:bottom w:val="double" w:sz="6" w:space="0" w:color="000000"/>
              <w:right w:val="nil"/>
            </w:tcBorders>
            <w:vAlign w:val="center"/>
            <w:hideMark/>
          </w:tcPr>
          <w:p w14:paraId="0EAAD13B"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nil"/>
              <w:right w:val="nil"/>
            </w:tcBorders>
            <w:shd w:val="clear" w:color="000000" w:fill="FFFFFF"/>
            <w:vAlign w:val="center"/>
            <w:hideMark/>
          </w:tcPr>
          <w:p w14:paraId="4A298EC3"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15,000 a 99,999 habitantes</w:t>
            </w:r>
          </w:p>
        </w:tc>
        <w:tc>
          <w:tcPr>
            <w:tcW w:w="1231" w:type="dxa"/>
            <w:tcBorders>
              <w:top w:val="nil"/>
              <w:left w:val="single" w:sz="8" w:space="0" w:color="auto"/>
              <w:bottom w:val="nil"/>
              <w:right w:val="nil"/>
            </w:tcBorders>
            <w:shd w:val="clear" w:color="000000" w:fill="FFFFFF"/>
            <w:noWrap/>
            <w:vAlign w:val="center"/>
            <w:hideMark/>
          </w:tcPr>
          <w:p w14:paraId="3756AFDF"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3.5</w:t>
            </w:r>
          </w:p>
        </w:tc>
        <w:tc>
          <w:tcPr>
            <w:tcW w:w="744" w:type="dxa"/>
            <w:tcBorders>
              <w:top w:val="nil"/>
              <w:left w:val="nil"/>
              <w:bottom w:val="nil"/>
              <w:right w:val="nil"/>
            </w:tcBorders>
            <w:shd w:val="clear" w:color="000000" w:fill="FFFFFF"/>
            <w:noWrap/>
            <w:vAlign w:val="center"/>
            <w:hideMark/>
          </w:tcPr>
          <w:p w14:paraId="13A5E07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0.9</w:t>
            </w:r>
          </w:p>
        </w:tc>
        <w:tc>
          <w:tcPr>
            <w:tcW w:w="813" w:type="dxa"/>
            <w:tcBorders>
              <w:top w:val="nil"/>
              <w:left w:val="nil"/>
              <w:bottom w:val="nil"/>
              <w:right w:val="nil"/>
            </w:tcBorders>
            <w:shd w:val="clear" w:color="000000" w:fill="FFFFFF"/>
            <w:noWrap/>
            <w:vAlign w:val="center"/>
            <w:hideMark/>
          </w:tcPr>
          <w:p w14:paraId="5DA128FE"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55" w:type="dxa"/>
            <w:tcBorders>
              <w:top w:val="nil"/>
              <w:left w:val="nil"/>
              <w:bottom w:val="nil"/>
              <w:right w:val="single" w:sz="8" w:space="0" w:color="auto"/>
            </w:tcBorders>
            <w:shd w:val="clear" w:color="000000" w:fill="FFFFFF"/>
            <w:noWrap/>
            <w:vAlign w:val="center"/>
            <w:hideMark/>
          </w:tcPr>
          <w:p w14:paraId="0AAE8A7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813" w:type="dxa"/>
            <w:tcBorders>
              <w:top w:val="nil"/>
              <w:left w:val="nil"/>
              <w:bottom w:val="nil"/>
              <w:right w:val="nil"/>
            </w:tcBorders>
            <w:shd w:val="clear" w:color="000000" w:fill="FFFFFF"/>
            <w:noWrap/>
            <w:vAlign w:val="center"/>
            <w:hideMark/>
          </w:tcPr>
          <w:p w14:paraId="6502CA2D"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1.4</w:t>
            </w:r>
          </w:p>
        </w:tc>
        <w:tc>
          <w:tcPr>
            <w:tcW w:w="747" w:type="dxa"/>
            <w:tcBorders>
              <w:top w:val="nil"/>
              <w:left w:val="nil"/>
              <w:bottom w:val="nil"/>
              <w:right w:val="nil"/>
            </w:tcBorders>
            <w:shd w:val="clear" w:color="000000" w:fill="FFFFFF"/>
            <w:noWrap/>
            <w:vAlign w:val="center"/>
            <w:hideMark/>
          </w:tcPr>
          <w:p w14:paraId="3712FD1C"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1.1</w:t>
            </w:r>
          </w:p>
        </w:tc>
        <w:tc>
          <w:tcPr>
            <w:tcW w:w="851" w:type="dxa"/>
            <w:tcBorders>
              <w:top w:val="nil"/>
              <w:left w:val="nil"/>
              <w:bottom w:val="nil"/>
              <w:right w:val="nil"/>
            </w:tcBorders>
            <w:shd w:val="clear" w:color="000000" w:fill="FFFFFF"/>
            <w:noWrap/>
            <w:vAlign w:val="center"/>
            <w:hideMark/>
          </w:tcPr>
          <w:p w14:paraId="6E84F010"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1.6</w:t>
            </w:r>
          </w:p>
        </w:tc>
        <w:tc>
          <w:tcPr>
            <w:tcW w:w="744" w:type="dxa"/>
            <w:tcBorders>
              <w:top w:val="nil"/>
              <w:left w:val="nil"/>
              <w:bottom w:val="nil"/>
              <w:right w:val="single" w:sz="8" w:space="0" w:color="auto"/>
            </w:tcBorders>
            <w:shd w:val="clear" w:color="000000" w:fill="FFFFFF"/>
            <w:noWrap/>
            <w:vAlign w:val="center"/>
            <w:hideMark/>
          </w:tcPr>
          <w:p w14:paraId="7CFA8E4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r>
      <w:tr w:rsidR="007C12C3" w:rsidRPr="00A92936" w14:paraId="45570C93" w14:textId="77777777" w:rsidTr="007C12C3">
        <w:trPr>
          <w:trHeight w:val="465"/>
          <w:jc w:val="center"/>
        </w:trPr>
        <w:tc>
          <w:tcPr>
            <w:tcW w:w="1008" w:type="dxa"/>
            <w:vMerge/>
            <w:tcBorders>
              <w:top w:val="nil"/>
              <w:left w:val="single" w:sz="8" w:space="0" w:color="auto"/>
              <w:bottom w:val="double" w:sz="6" w:space="0" w:color="000000"/>
              <w:right w:val="nil"/>
            </w:tcBorders>
            <w:vAlign w:val="center"/>
            <w:hideMark/>
          </w:tcPr>
          <w:p w14:paraId="19FCAF5B" w14:textId="77777777" w:rsidR="00A92936" w:rsidRPr="00A92936" w:rsidRDefault="00A92936" w:rsidP="00A92936">
            <w:pPr>
              <w:spacing w:after="0" w:line="240" w:lineRule="auto"/>
              <w:rPr>
                <w:rFonts w:ascii="Calibri" w:eastAsia="Times New Roman" w:hAnsi="Calibri" w:cs="Calibri"/>
                <w:b/>
                <w:bCs/>
                <w:sz w:val="16"/>
                <w:szCs w:val="16"/>
                <w:lang w:eastAsia="es-MX"/>
              </w:rPr>
            </w:pPr>
          </w:p>
        </w:tc>
        <w:tc>
          <w:tcPr>
            <w:tcW w:w="1817" w:type="dxa"/>
            <w:tcBorders>
              <w:top w:val="nil"/>
              <w:left w:val="nil"/>
              <w:bottom w:val="double" w:sz="6" w:space="0" w:color="auto"/>
              <w:right w:val="nil"/>
            </w:tcBorders>
            <w:shd w:val="clear" w:color="000000" w:fill="FFFFFF"/>
            <w:vAlign w:val="center"/>
            <w:hideMark/>
          </w:tcPr>
          <w:p w14:paraId="0DDFE4AB"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Localidades de 100,000 y más habitantes</w:t>
            </w:r>
          </w:p>
        </w:tc>
        <w:tc>
          <w:tcPr>
            <w:tcW w:w="1231" w:type="dxa"/>
            <w:tcBorders>
              <w:top w:val="nil"/>
              <w:left w:val="single" w:sz="8" w:space="0" w:color="auto"/>
              <w:bottom w:val="double" w:sz="6" w:space="0" w:color="auto"/>
              <w:right w:val="nil"/>
            </w:tcBorders>
            <w:shd w:val="clear" w:color="000000" w:fill="FFFFFF"/>
            <w:noWrap/>
            <w:vAlign w:val="center"/>
            <w:hideMark/>
          </w:tcPr>
          <w:p w14:paraId="615426D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c>
          <w:tcPr>
            <w:tcW w:w="744" w:type="dxa"/>
            <w:tcBorders>
              <w:top w:val="nil"/>
              <w:left w:val="nil"/>
              <w:bottom w:val="double" w:sz="6" w:space="0" w:color="auto"/>
              <w:right w:val="nil"/>
            </w:tcBorders>
            <w:shd w:val="clear" w:color="000000" w:fill="FFFFFF"/>
            <w:noWrap/>
            <w:vAlign w:val="center"/>
            <w:hideMark/>
          </w:tcPr>
          <w:p w14:paraId="74632B8B"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1.2</w:t>
            </w:r>
          </w:p>
        </w:tc>
        <w:tc>
          <w:tcPr>
            <w:tcW w:w="813" w:type="dxa"/>
            <w:tcBorders>
              <w:top w:val="nil"/>
              <w:left w:val="nil"/>
              <w:bottom w:val="double" w:sz="6" w:space="0" w:color="auto"/>
              <w:right w:val="nil"/>
            </w:tcBorders>
            <w:shd w:val="clear" w:color="000000" w:fill="FFFFFF"/>
            <w:noWrap/>
            <w:vAlign w:val="center"/>
            <w:hideMark/>
          </w:tcPr>
          <w:p w14:paraId="1B8A7619"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2.0</w:t>
            </w:r>
          </w:p>
        </w:tc>
        <w:tc>
          <w:tcPr>
            <w:tcW w:w="755" w:type="dxa"/>
            <w:tcBorders>
              <w:top w:val="nil"/>
              <w:left w:val="nil"/>
              <w:bottom w:val="double" w:sz="6" w:space="0" w:color="auto"/>
              <w:right w:val="single" w:sz="8" w:space="0" w:color="auto"/>
            </w:tcBorders>
            <w:shd w:val="clear" w:color="000000" w:fill="FFFFFF"/>
            <w:noWrap/>
            <w:vAlign w:val="center"/>
            <w:hideMark/>
          </w:tcPr>
          <w:p w14:paraId="29E167A3"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1.3</w:t>
            </w:r>
          </w:p>
        </w:tc>
        <w:tc>
          <w:tcPr>
            <w:tcW w:w="813" w:type="dxa"/>
            <w:tcBorders>
              <w:top w:val="nil"/>
              <w:left w:val="nil"/>
              <w:bottom w:val="double" w:sz="6" w:space="0" w:color="auto"/>
              <w:right w:val="nil"/>
            </w:tcBorders>
            <w:shd w:val="clear" w:color="000000" w:fill="FFFFFF"/>
            <w:noWrap/>
            <w:vAlign w:val="center"/>
            <w:hideMark/>
          </w:tcPr>
          <w:p w14:paraId="4751A7C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2.7</w:t>
            </w:r>
          </w:p>
        </w:tc>
        <w:tc>
          <w:tcPr>
            <w:tcW w:w="747" w:type="dxa"/>
            <w:tcBorders>
              <w:top w:val="nil"/>
              <w:left w:val="nil"/>
              <w:bottom w:val="double" w:sz="6" w:space="0" w:color="auto"/>
              <w:right w:val="nil"/>
            </w:tcBorders>
            <w:shd w:val="clear" w:color="000000" w:fill="FFFFFF"/>
            <w:noWrap/>
            <w:vAlign w:val="center"/>
            <w:hideMark/>
          </w:tcPr>
          <w:p w14:paraId="229EC67A"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c>
          <w:tcPr>
            <w:tcW w:w="851" w:type="dxa"/>
            <w:tcBorders>
              <w:top w:val="nil"/>
              <w:left w:val="nil"/>
              <w:bottom w:val="double" w:sz="6" w:space="0" w:color="auto"/>
              <w:right w:val="nil"/>
            </w:tcBorders>
            <w:shd w:val="clear" w:color="000000" w:fill="FFFFFF"/>
            <w:noWrap/>
            <w:vAlign w:val="center"/>
            <w:hideMark/>
          </w:tcPr>
          <w:p w14:paraId="403104D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2.2</w:t>
            </w:r>
          </w:p>
        </w:tc>
        <w:tc>
          <w:tcPr>
            <w:tcW w:w="744" w:type="dxa"/>
            <w:tcBorders>
              <w:top w:val="nil"/>
              <w:left w:val="nil"/>
              <w:bottom w:val="double" w:sz="6" w:space="0" w:color="auto"/>
              <w:right w:val="single" w:sz="8" w:space="0" w:color="auto"/>
            </w:tcBorders>
            <w:shd w:val="clear" w:color="000000" w:fill="FFFFFF"/>
            <w:noWrap/>
            <w:vAlign w:val="center"/>
            <w:hideMark/>
          </w:tcPr>
          <w:p w14:paraId="3393BA18" w14:textId="77777777" w:rsidR="00A92936" w:rsidRPr="00A92936" w:rsidRDefault="00A92936" w:rsidP="00A92936">
            <w:pPr>
              <w:spacing w:after="0" w:line="240" w:lineRule="auto"/>
              <w:jc w:val="center"/>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1.7</w:t>
            </w:r>
          </w:p>
        </w:tc>
      </w:tr>
      <w:tr w:rsidR="00A92936" w:rsidRPr="00A92936" w14:paraId="45CE94ED" w14:textId="77777777" w:rsidTr="007C12C3">
        <w:trPr>
          <w:trHeight w:val="270"/>
          <w:jc w:val="center"/>
        </w:trPr>
        <w:tc>
          <w:tcPr>
            <w:tcW w:w="7928" w:type="dxa"/>
            <w:gridSpan w:val="8"/>
            <w:tcBorders>
              <w:top w:val="nil"/>
              <w:left w:val="nil"/>
              <w:bottom w:val="nil"/>
              <w:right w:val="nil"/>
            </w:tcBorders>
            <w:shd w:val="clear" w:color="000000" w:fill="FFFFFF"/>
            <w:noWrap/>
            <w:vAlign w:val="bottom"/>
            <w:hideMark/>
          </w:tcPr>
          <w:p w14:paraId="378A45C9"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Fuente: Elaboración propia a partir de los microdatos de los Censos de Población y Vivienda de 2000, 2010 y Encuesta Intercensal 2015</w:t>
            </w:r>
          </w:p>
        </w:tc>
        <w:tc>
          <w:tcPr>
            <w:tcW w:w="851" w:type="dxa"/>
            <w:tcBorders>
              <w:top w:val="nil"/>
              <w:left w:val="nil"/>
              <w:bottom w:val="nil"/>
              <w:right w:val="nil"/>
            </w:tcBorders>
            <w:shd w:val="clear" w:color="000000" w:fill="FFFFFF"/>
            <w:noWrap/>
            <w:vAlign w:val="bottom"/>
            <w:hideMark/>
          </w:tcPr>
          <w:p w14:paraId="4EA3F674"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 </w:t>
            </w:r>
          </w:p>
        </w:tc>
        <w:tc>
          <w:tcPr>
            <w:tcW w:w="744" w:type="dxa"/>
            <w:tcBorders>
              <w:top w:val="nil"/>
              <w:left w:val="nil"/>
              <w:bottom w:val="nil"/>
              <w:right w:val="nil"/>
            </w:tcBorders>
            <w:shd w:val="clear" w:color="000000" w:fill="FFFFFF"/>
            <w:noWrap/>
            <w:vAlign w:val="bottom"/>
            <w:hideMark/>
          </w:tcPr>
          <w:p w14:paraId="03329018" w14:textId="77777777" w:rsidR="00A92936" w:rsidRPr="00A92936" w:rsidRDefault="00A92936" w:rsidP="00A92936">
            <w:pPr>
              <w:spacing w:after="0" w:line="240" w:lineRule="auto"/>
              <w:rPr>
                <w:rFonts w:ascii="Calibri" w:eastAsia="Times New Roman" w:hAnsi="Calibri" w:cs="Calibri"/>
                <w:sz w:val="16"/>
                <w:szCs w:val="16"/>
                <w:lang w:eastAsia="es-MX"/>
              </w:rPr>
            </w:pPr>
            <w:r w:rsidRPr="00A92936">
              <w:rPr>
                <w:rFonts w:ascii="Calibri" w:eastAsia="Times New Roman" w:hAnsi="Calibri" w:cs="Calibri"/>
                <w:sz w:val="16"/>
                <w:szCs w:val="16"/>
                <w:lang w:eastAsia="es-MX"/>
              </w:rPr>
              <w:t> </w:t>
            </w:r>
          </w:p>
        </w:tc>
      </w:tr>
    </w:tbl>
    <w:p w14:paraId="3404C49C" w14:textId="350B2DBD" w:rsidR="009C2AD7" w:rsidRDefault="009C2AD7" w:rsidP="004648AE">
      <w:pPr>
        <w:spacing w:before="240" w:after="240" w:line="240" w:lineRule="auto"/>
        <w:jc w:val="both"/>
        <w:rPr>
          <w:rFonts w:ascii="Times New Roman" w:eastAsia="Times New Roman" w:hAnsi="Times New Roman" w:cs="Times New Roman"/>
          <w:sz w:val="24"/>
          <w:szCs w:val="24"/>
          <w:lang w:eastAsia="es-MX"/>
        </w:rPr>
      </w:pPr>
    </w:p>
    <w:p w14:paraId="08E683DB" w14:textId="0E5D1405" w:rsidR="005A17FA" w:rsidRDefault="005A17FA" w:rsidP="004648AE">
      <w:pPr>
        <w:spacing w:before="240" w:after="240" w:line="240" w:lineRule="auto"/>
        <w:jc w:val="both"/>
        <w:rPr>
          <w:rFonts w:ascii="Times New Roman" w:eastAsia="Times New Roman" w:hAnsi="Times New Roman" w:cs="Times New Roman"/>
          <w:sz w:val="24"/>
          <w:szCs w:val="24"/>
          <w:lang w:eastAsia="es-MX"/>
        </w:rPr>
      </w:pPr>
    </w:p>
    <w:p w14:paraId="23D5C4C8" w14:textId="77777777" w:rsidR="005A17FA" w:rsidRDefault="005A17FA" w:rsidP="004648AE">
      <w:pPr>
        <w:spacing w:before="240" w:after="240" w:line="240" w:lineRule="auto"/>
        <w:jc w:val="both"/>
        <w:rPr>
          <w:rFonts w:ascii="Times New Roman" w:eastAsia="Times New Roman" w:hAnsi="Times New Roman" w:cs="Times New Roman"/>
          <w:sz w:val="24"/>
          <w:szCs w:val="24"/>
          <w:lang w:eastAsia="es-MX"/>
        </w:rPr>
      </w:pPr>
    </w:p>
    <w:p w14:paraId="11ACEB75" w14:textId="1C326444" w:rsidR="00483A39" w:rsidRPr="00483A39" w:rsidRDefault="00483A39" w:rsidP="005A17FA">
      <w:pPr>
        <w:spacing w:after="0" w:line="240" w:lineRule="auto"/>
        <w:jc w:val="center"/>
        <w:rPr>
          <w:rFonts w:ascii="Times New Roman" w:eastAsia="Times New Roman" w:hAnsi="Times New Roman" w:cs="Times New Roman"/>
          <w:b/>
          <w:bCs/>
          <w:sz w:val="32"/>
          <w:szCs w:val="32"/>
          <w:lang w:eastAsia="es-MX"/>
        </w:rPr>
      </w:pPr>
      <w:r w:rsidRPr="00483A39">
        <w:rPr>
          <w:rFonts w:ascii="Times New Roman" w:eastAsia="Times New Roman" w:hAnsi="Times New Roman" w:cs="Times New Roman"/>
          <w:b/>
          <w:bCs/>
          <w:sz w:val="32"/>
          <w:szCs w:val="32"/>
          <w:lang w:eastAsia="es-MX"/>
        </w:rPr>
        <w:lastRenderedPageBreak/>
        <w:t>Discusión</w:t>
      </w:r>
    </w:p>
    <w:p w14:paraId="0640E26E" w14:textId="77777777" w:rsidR="00B84CFF" w:rsidRDefault="00B84CFF" w:rsidP="005A1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perspectivas teóricas que adoptamos para la presente investigación resultan relevantes para poder explicar la asistencia escolar de los niños y jóvenes, según consideremos la presencia de la migración internacional.</w:t>
      </w:r>
    </w:p>
    <w:p w14:paraId="023B44F2" w14:textId="77777777" w:rsidR="00B84CFF" w:rsidRDefault="00B84CFF" w:rsidP="005A1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un lado, los hallazgos en el presente artículo permiten discutir contra la literatura especializada en migración internacional de retorno. Los retornados se dispersan en las diferentes localidades del país, aunque hay una tendencia a concentrarse en sus localidades de origen, principalmente de zonas rurales. El retorno a las grandes ciudades es un fenómeno poco desarrollado. El retorno a las localidades de expulsión o de origen, indica con claridad que el proyecto migratorio no se consolidó, pues las deportaciones han actuado en contra de los proyectos migratorios de los migrantes.</w:t>
      </w:r>
    </w:p>
    <w:p w14:paraId="36D0A71F" w14:textId="77777777" w:rsidR="00B84CFF" w:rsidRDefault="00B84CFF" w:rsidP="005A1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la perspectiva teórica transnacional ha resultado sumamente útil para poder comprender la heterogeneidad de los hallazgos. El postulado de que en los espacios sociales transnacionales se generan diferencias y desigualdades sociales, se sostiene en la presente investigación. Gracias a este postulado podemos comprender que existen diferentes tipos de migrantes de retorno: unos a los que la migración internacional les ha generado beneficios económicos y sociales, principalmente porque les ha permitido movilidad social, lo que resulta en mayores probabilidades de que sus hijos asistan a la escuela. Pero, por otro lado, hay un gran número de migrantes de retorno que no obtuvieron éxito en su proyecto migratorio, debido a la crisis económica en Estados Unidos, que aceleró su retorno, debido al mecanismo de la deportación o devolución. Estos últimos, no experimentaron movilidad social, de modo que sus hijos ven disminuidas sus probabilidades de asistencia escolar.</w:t>
      </w:r>
    </w:p>
    <w:p w14:paraId="7DA8145F" w14:textId="77777777" w:rsidR="00B84CFF" w:rsidRDefault="00B84CFF" w:rsidP="005A1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Finalmente, las perspectivas teóricas del mundo de la vida cotidiana y de los capitales, han sido bastante útiles para poder comprender la diversidad de posiciones sociales que se generan dentro de los espacios sociales transnacionales. Como dejan ver los hallazgos, aquellos jefes de hogar retornados que experimentaron movilidad social, incrementaron sus capitales económico, social y cultural, al tiempo que experimentaron una movilidad interna, lo que explica el cambio de sus puntos de vista y sus acciones orientadas a la escolarización de sus hijos. En contraste, aquellos jefes de hogar retornados, que no vieron cumplido su proyecto migratorio, no pudieron experimentar movilidad social, lo que influyó en que no hubiera un cambio en su punto de vista ni en sus acciones respecto a la escolaridad de sus hijos. Lo anterior impacta en una baja capacidad de acumulación de capitales, lo que explica que sus hijos vean drásticamente sus probabilidades de asistencia escolar.</w:t>
      </w:r>
    </w:p>
    <w:p w14:paraId="342275A0" w14:textId="3FACA387" w:rsidR="00B84CFF" w:rsidRDefault="00B84CFF" w:rsidP="005A1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articulación de las diferentes perspectivas teóricas ha resultado sumamente productiva para comprender cómo los espacios sociales transnacionales generan desigualdades sociales, que se verifican en la desigualdad a la asistencia escolar de niños y jóvenes en contextos de migración internacional.</w:t>
      </w:r>
    </w:p>
    <w:p w14:paraId="5D0A3B79" w14:textId="77777777" w:rsidR="005A17FA" w:rsidRPr="00AE0D02" w:rsidRDefault="005A17FA" w:rsidP="005A17FA">
      <w:pPr>
        <w:spacing w:after="0" w:line="360" w:lineRule="auto"/>
        <w:jc w:val="both"/>
        <w:rPr>
          <w:rFonts w:ascii="Times New Roman" w:hAnsi="Times New Roman" w:cs="Times New Roman"/>
          <w:sz w:val="24"/>
          <w:szCs w:val="24"/>
        </w:rPr>
      </w:pPr>
    </w:p>
    <w:p w14:paraId="5E0BFEED" w14:textId="097D40B3" w:rsidR="00F84C4B" w:rsidRPr="009825B3" w:rsidRDefault="00D97CEA" w:rsidP="005A17FA">
      <w:pPr>
        <w:spacing w:after="0" w:line="240" w:lineRule="auto"/>
        <w:jc w:val="center"/>
        <w:rPr>
          <w:rFonts w:ascii="Times New Roman" w:eastAsia="Times New Roman" w:hAnsi="Times New Roman" w:cs="Times New Roman"/>
          <w:b/>
          <w:bCs/>
          <w:sz w:val="32"/>
          <w:szCs w:val="32"/>
          <w:lang w:eastAsia="es-MX"/>
        </w:rPr>
      </w:pPr>
      <w:r w:rsidRPr="009825B3">
        <w:rPr>
          <w:rFonts w:ascii="Times New Roman" w:eastAsia="Times New Roman" w:hAnsi="Times New Roman" w:cs="Times New Roman"/>
          <w:b/>
          <w:bCs/>
          <w:sz w:val="32"/>
          <w:szCs w:val="32"/>
          <w:lang w:eastAsia="es-MX"/>
        </w:rPr>
        <w:t>Conclusiones</w:t>
      </w:r>
    </w:p>
    <w:p w14:paraId="0AB65BA2" w14:textId="1D9BE9DA" w:rsidR="00D97CEA" w:rsidRDefault="000E2D7B"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Los migrantes internacionales </w:t>
      </w:r>
      <w:r w:rsidR="00FB3168">
        <w:rPr>
          <w:rFonts w:ascii="Times New Roman" w:eastAsia="Times New Roman" w:hAnsi="Times New Roman" w:cs="Times New Roman"/>
          <w:sz w:val="24"/>
          <w:szCs w:val="24"/>
          <w:lang w:eastAsia="es-MX"/>
        </w:rPr>
        <w:t>deciden emigrar para generar mejores condiciones de vida para sus familiares</w:t>
      </w:r>
      <w:r w:rsidR="000C3F09">
        <w:rPr>
          <w:rFonts w:ascii="Times New Roman" w:eastAsia="Times New Roman" w:hAnsi="Times New Roman" w:cs="Times New Roman"/>
          <w:sz w:val="24"/>
          <w:szCs w:val="24"/>
          <w:lang w:eastAsia="es-MX"/>
        </w:rPr>
        <w:t>.</w:t>
      </w:r>
      <w:r w:rsidR="00FB3168">
        <w:rPr>
          <w:rFonts w:ascii="Times New Roman" w:eastAsia="Times New Roman" w:hAnsi="Times New Roman" w:cs="Times New Roman"/>
          <w:sz w:val="24"/>
          <w:szCs w:val="24"/>
          <w:lang w:eastAsia="es-MX"/>
        </w:rPr>
        <w:t xml:space="preserve"> </w:t>
      </w:r>
      <w:r w:rsidR="000C3F09">
        <w:rPr>
          <w:rFonts w:ascii="Times New Roman" w:eastAsia="Times New Roman" w:hAnsi="Times New Roman" w:cs="Times New Roman"/>
          <w:sz w:val="24"/>
          <w:szCs w:val="24"/>
          <w:lang w:eastAsia="es-MX"/>
        </w:rPr>
        <w:t>L</w:t>
      </w:r>
      <w:r w:rsidR="00FB3168">
        <w:rPr>
          <w:rFonts w:ascii="Times New Roman" w:eastAsia="Times New Roman" w:hAnsi="Times New Roman" w:cs="Times New Roman"/>
          <w:sz w:val="24"/>
          <w:szCs w:val="24"/>
          <w:lang w:eastAsia="es-MX"/>
        </w:rPr>
        <w:t xml:space="preserve">a posibilidad de que las personas participen </w:t>
      </w:r>
      <w:r w:rsidR="0099493E">
        <w:rPr>
          <w:rFonts w:ascii="Times New Roman" w:eastAsia="Times New Roman" w:hAnsi="Times New Roman" w:cs="Times New Roman"/>
          <w:sz w:val="24"/>
          <w:szCs w:val="24"/>
          <w:lang w:eastAsia="es-MX"/>
        </w:rPr>
        <w:t>en los flujos migratorios</w:t>
      </w:r>
      <w:r w:rsidR="00CA248D">
        <w:rPr>
          <w:rFonts w:ascii="Times New Roman" w:eastAsia="Times New Roman" w:hAnsi="Times New Roman" w:cs="Times New Roman"/>
          <w:sz w:val="24"/>
          <w:szCs w:val="24"/>
          <w:lang w:eastAsia="es-MX"/>
        </w:rPr>
        <w:t xml:space="preserve"> depende de su </w:t>
      </w:r>
      <w:r w:rsidR="002F4BC2">
        <w:rPr>
          <w:rFonts w:ascii="Times New Roman" w:eastAsia="Times New Roman" w:hAnsi="Times New Roman" w:cs="Times New Roman"/>
          <w:sz w:val="24"/>
          <w:szCs w:val="24"/>
          <w:lang w:eastAsia="es-MX"/>
        </w:rPr>
        <w:t>vinculac</w:t>
      </w:r>
      <w:r w:rsidR="00CA248D">
        <w:rPr>
          <w:rFonts w:ascii="Times New Roman" w:eastAsia="Times New Roman" w:hAnsi="Times New Roman" w:cs="Times New Roman"/>
          <w:sz w:val="24"/>
          <w:szCs w:val="24"/>
          <w:lang w:eastAsia="es-MX"/>
        </w:rPr>
        <w:t>ión con redes de migrantes</w:t>
      </w:r>
      <w:r w:rsidR="002A1A54">
        <w:rPr>
          <w:rFonts w:ascii="Times New Roman" w:eastAsia="Times New Roman" w:hAnsi="Times New Roman" w:cs="Times New Roman"/>
          <w:sz w:val="24"/>
          <w:szCs w:val="24"/>
          <w:lang w:eastAsia="es-MX"/>
        </w:rPr>
        <w:t>. Los vínculos que el migrante establece con sus lugares de origen, están en función de los objetivos de la migración misma</w:t>
      </w:r>
      <w:r w:rsidR="00A317CC">
        <w:rPr>
          <w:rFonts w:ascii="Times New Roman" w:eastAsia="Times New Roman" w:hAnsi="Times New Roman" w:cs="Times New Roman"/>
          <w:sz w:val="24"/>
          <w:szCs w:val="24"/>
          <w:lang w:eastAsia="es-MX"/>
        </w:rPr>
        <w:t xml:space="preserve"> y de sus </w:t>
      </w:r>
      <w:proofErr w:type="spellStart"/>
      <w:r w:rsidR="00A317CC">
        <w:rPr>
          <w:rFonts w:ascii="Times New Roman" w:eastAsia="Times New Roman" w:hAnsi="Times New Roman" w:cs="Times New Roman"/>
          <w:sz w:val="24"/>
          <w:szCs w:val="24"/>
          <w:lang w:eastAsia="es-MX"/>
        </w:rPr>
        <w:t>enraízamiento</w:t>
      </w:r>
      <w:proofErr w:type="spellEnd"/>
      <w:r w:rsidR="00A317CC">
        <w:rPr>
          <w:rFonts w:ascii="Times New Roman" w:eastAsia="Times New Roman" w:hAnsi="Times New Roman" w:cs="Times New Roman"/>
          <w:sz w:val="24"/>
          <w:szCs w:val="24"/>
          <w:lang w:eastAsia="es-MX"/>
        </w:rPr>
        <w:t xml:space="preserve"> social con el lugar de origen. </w:t>
      </w:r>
    </w:p>
    <w:p w14:paraId="01670AA5" w14:textId="06E7661D" w:rsidR="00AA6A95" w:rsidRDefault="00AA6A95"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Las condiciones de crisis económica que ha enfrentado Estados Unidos y las políticas antiinmigrantes que han desplegado a raíz de esa crisis, ha incrementado el número de devoluciones</w:t>
      </w:r>
      <w:r w:rsidR="00764B94">
        <w:rPr>
          <w:rFonts w:ascii="Times New Roman" w:eastAsia="Times New Roman" w:hAnsi="Times New Roman" w:cs="Times New Roman"/>
          <w:sz w:val="24"/>
          <w:szCs w:val="24"/>
          <w:lang w:eastAsia="es-MX"/>
        </w:rPr>
        <w:t xml:space="preserve"> y/o deportaciones. Los retornados son de diversos tipos, de modo que el impacto de los retornados sobre la escolarización de los hijos es </w:t>
      </w:r>
      <w:proofErr w:type="gramStart"/>
      <w:r w:rsidR="00764B94">
        <w:rPr>
          <w:rFonts w:ascii="Times New Roman" w:eastAsia="Times New Roman" w:hAnsi="Times New Roman" w:cs="Times New Roman"/>
          <w:sz w:val="24"/>
          <w:szCs w:val="24"/>
          <w:lang w:eastAsia="es-MX"/>
        </w:rPr>
        <w:t>diversa</w:t>
      </w:r>
      <w:proofErr w:type="gramEnd"/>
      <w:r w:rsidR="00764B94">
        <w:rPr>
          <w:rFonts w:ascii="Times New Roman" w:eastAsia="Times New Roman" w:hAnsi="Times New Roman" w:cs="Times New Roman"/>
          <w:sz w:val="24"/>
          <w:szCs w:val="24"/>
          <w:lang w:eastAsia="es-MX"/>
        </w:rPr>
        <w:t xml:space="preserve">. </w:t>
      </w:r>
    </w:p>
    <w:p w14:paraId="7645247F" w14:textId="58EBCC11" w:rsidR="0034785B" w:rsidRDefault="0034785B"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análisis presentado nos permite sostener que la migración internacional ha generado un espacio social diferenciado, de modo que podemos identificar </w:t>
      </w:r>
      <w:r w:rsidR="00B77A44">
        <w:rPr>
          <w:rFonts w:ascii="Times New Roman" w:eastAsia="Times New Roman" w:hAnsi="Times New Roman" w:cs="Times New Roman"/>
          <w:sz w:val="24"/>
          <w:szCs w:val="24"/>
          <w:lang w:eastAsia="es-MX"/>
        </w:rPr>
        <w:t>un continuum de posiciones sociales de los retornados; es decir, desde retornados con grandes dificultades para la inserción social y laboral</w:t>
      </w:r>
      <w:r w:rsidR="00574680">
        <w:rPr>
          <w:rFonts w:ascii="Times New Roman" w:eastAsia="Times New Roman" w:hAnsi="Times New Roman" w:cs="Times New Roman"/>
          <w:sz w:val="24"/>
          <w:szCs w:val="24"/>
          <w:lang w:eastAsia="es-MX"/>
        </w:rPr>
        <w:t xml:space="preserve">, que influyen negativamente en la escolarización de sus hijos, pasando por aquellos con condiciones no tan desfavorables, hasta llegar a aquellos en los que la migración internacional les dio la posibilidad de generar mejores condiciones socioeconómicas, lo que hace que sus hijos tengan </w:t>
      </w:r>
      <w:r w:rsidR="009A1736">
        <w:rPr>
          <w:rFonts w:ascii="Times New Roman" w:eastAsia="Times New Roman" w:hAnsi="Times New Roman" w:cs="Times New Roman"/>
          <w:sz w:val="24"/>
          <w:szCs w:val="24"/>
          <w:lang w:eastAsia="es-MX"/>
        </w:rPr>
        <w:t>mejores condiciones para continuar sus procesos de escolarización.</w:t>
      </w:r>
    </w:p>
    <w:p w14:paraId="69009724" w14:textId="40923AB9" w:rsidR="009A1736" w:rsidRDefault="009A1736" w:rsidP="005A17FA">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Los hijos de retornados cuentan con bajos niveles de capital social, que apoyen sus procesos educativos; pero cuentan con capital cultural que influye positivamente en sus procesos de escolarización</w:t>
      </w:r>
      <w:r w:rsidR="00653C21">
        <w:rPr>
          <w:rFonts w:ascii="Times New Roman" w:eastAsia="Times New Roman" w:hAnsi="Times New Roman" w:cs="Times New Roman"/>
          <w:sz w:val="24"/>
          <w:szCs w:val="24"/>
          <w:lang w:eastAsia="es-MX"/>
        </w:rPr>
        <w:t xml:space="preserve">. La variabilidad en el capital económico de los migrantes retornados tiene un efecto directamente proporcional sobre la escolarización de los hijos, de modo </w:t>
      </w:r>
      <w:proofErr w:type="gramStart"/>
      <w:r w:rsidR="00653C21">
        <w:rPr>
          <w:rFonts w:ascii="Times New Roman" w:eastAsia="Times New Roman" w:hAnsi="Times New Roman" w:cs="Times New Roman"/>
          <w:sz w:val="24"/>
          <w:szCs w:val="24"/>
          <w:lang w:eastAsia="es-MX"/>
        </w:rPr>
        <w:t>que</w:t>
      </w:r>
      <w:proofErr w:type="gramEnd"/>
      <w:r w:rsidR="00653C21">
        <w:rPr>
          <w:rFonts w:ascii="Times New Roman" w:eastAsia="Times New Roman" w:hAnsi="Times New Roman" w:cs="Times New Roman"/>
          <w:sz w:val="24"/>
          <w:szCs w:val="24"/>
          <w:lang w:eastAsia="es-MX"/>
        </w:rPr>
        <w:t xml:space="preserve"> a mayor capital económico, mayor probabilidad de continuar con sus estudios profesionales</w:t>
      </w:r>
      <w:r w:rsidR="005A17FA">
        <w:rPr>
          <w:rFonts w:ascii="Times New Roman" w:eastAsia="Times New Roman" w:hAnsi="Times New Roman" w:cs="Times New Roman"/>
          <w:sz w:val="24"/>
          <w:szCs w:val="24"/>
          <w:lang w:eastAsia="es-MX"/>
        </w:rPr>
        <w:t>.</w:t>
      </w:r>
    </w:p>
    <w:p w14:paraId="44E3A280" w14:textId="6BDDD36D"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3804EF04" w14:textId="30522E04"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5BBC26D1" w14:textId="5C2A182F"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55EEB15E" w14:textId="41174B60"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35B36EC1" w14:textId="77777777" w:rsidR="005A17FA" w:rsidRDefault="005A17FA" w:rsidP="005A17FA">
      <w:pPr>
        <w:spacing w:after="0" w:line="360" w:lineRule="auto"/>
        <w:jc w:val="both"/>
        <w:rPr>
          <w:rFonts w:ascii="Times New Roman" w:eastAsia="Times New Roman" w:hAnsi="Times New Roman" w:cs="Times New Roman"/>
          <w:sz w:val="24"/>
          <w:szCs w:val="24"/>
          <w:lang w:eastAsia="es-MX"/>
        </w:rPr>
      </w:pPr>
    </w:p>
    <w:p w14:paraId="2527D7F7" w14:textId="4ADF84FF" w:rsidR="00D97CEA" w:rsidRPr="005A17FA" w:rsidRDefault="00D97CEA" w:rsidP="005A17FA">
      <w:pPr>
        <w:spacing w:before="240" w:after="240" w:line="240" w:lineRule="auto"/>
        <w:rPr>
          <w:rFonts w:eastAsia="Times New Roman" w:cstheme="minorHAnsi"/>
          <w:b/>
          <w:bCs/>
          <w:sz w:val="24"/>
          <w:szCs w:val="24"/>
          <w:lang w:eastAsia="es-MX"/>
        </w:rPr>
      </w:pPr>
      <w:r w:rsidRPr="005A17FA">
        <w:rPr>
          <w:rFonts w:eastAsia="Times New Roman" w:cstheme="minorHAnsi"/>
          <w:b/>
          <w:bCs/>
          <w:sz w:val="28"/>
          <w:szCs w:val="28"/>
          <w:lang w:eastAsia="es-MX"/>
        </w:rPr>
        <w:lastRenderedPageBreak/>
        <w:t>Referencias</w:t>
      </w:r>
    </w:p>
    <w:p w14:paraId="5EE92F68" w14:textId="77777777" w:rsidR="00EF7BBC" w:rsidRPr="005A17FA" w:rsidRDefault="00EF7BBC" w:rsidP="005A17FA">
      <w:pPr>
        <w:spacing w:after="0" w:line="360" w:lineRule="auto"/>
        <w:ind w:left="709" w:hanging="709"/>
        <w:jc w:val="both"/>
        <w:rPr>
          <w:rFonts w:ascii="Times New Roman" w:hAnsi="Times New Roman" w:cs="Times New Roman"/>
          <w:color w:val="000000"/>
          <w:sz w:val="24"/>
          <w:szCs w:val="24"/>
        </w:rPr>
      </w:pPr>
      <w:r w:rsidRPr="005A17FA">
        <w:rPr>
          <w:rFonts w:ascii="Times New Roman" w:hAnsi="Times New Roman" w:cs="Times New Roman"/>
          <w:color w:val="000000"/>
          <w:sz w:val="24"/>
          <w:szCs w:val="24"/>
        </w:rPr>
        <w:t xml:space="preserve">Barros </w:t>
      </w:r>
      <w:proofErr w:type="spellStart"/>
      <w:r w:rsidRPr="005A17FA">
        <w:rPr>
          <w:rFonts w:ascii="Times New Roman" w:hAnsi="Times New Roman" w:cs="Times New Roman"/>
          <w:color w:val="000000"/>
          <w:sz w:val="24"/>
          <w:szCs w:val="24"/>
        </w:rPr>
        <w:t>Nock</w:t>
      </w:r>
      <w:proofErr w:type="spellEnd"/>
      <w:r w:rsidRPr="005A17FA">
        <w:rPr>
          <w:rFonts w:ascii="Times New Roman" w:hAnsi="Times New Roman" w:cs="Times New Roman"/>
          <w:color w:val="000000"/>
          <w:sz w:val="24"/>
          <w:szCs w:val="24"/>
        </w:rPr>
        <w:t xml:space="preserve">, Magdalena (2019), “Familias mixtecas fracturadas por las deportaciones en Estados Unidos”, en Liliana Rivera Sánchez (coordinadora), </w:t>
      </w:r>
      <w:r w:rsidRPr="005A17FA">
        <w:rPr>
          <w:rFonts w:ascii="Times New Roman" w:hAnsi="Times New Roman" w:cs="Times New Roman"/>
          <w:i/>
          <w:iCs/>
          <w:color w:val="000000"/>
          <w:sz w:val="24"/>
          <w:szCs w:val="24"/>
        </w:rPr>
        <w:t>¿Volver a casa? Migrantes de retorno en América Latina. Debates, tendencias y experiencias divergentes</w:t>
      </w:r>
      <w:r w:rsidRPr="005A17FA">
        <w:rPr>
          <w:rFonts w:ascii="Times New Roman" w:hAnsi="Times New Roman" w:cs="Times New Roman"/>
          <w:color w:val="000000"/>
          <w:sz w:val="24"/>
          <w:szCs w:val="24"/>
        </w:rPr>
        <w:t>, México, El Colegio de México, pp. 201-232.</w:t>
      </w:r>
    </w:p>
    <w:p w14:paraId="32CC914F" w14:textId="77777777"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 xml:space="preserve">Bauman, </w:t>
      </w:r>
      <w:proofErr w:type="spellStart"/>
      <w:r w:rsidRPr="005A17FA">
        <w:rPr>
          <w:rFonts w:ascii="Times New Roman" w:eastAsia="Times New Roman" w:hAnsi="Times New Roman" w:cs="Times New Roman"/>
          <w:sz w:val="24"/>
          <w:szCs w:val="24"/>
          <w:lang w:eastAsia="es-MX"/>
        </w:rPr>
        <w:t>Zigmunt</w:t>
      </w:r>
      <w:proofErr w:type="spellEnd"/>
      <w:r w:rsidRPr="005A17FA">
        <w:rPr>
          <w:rFonts w:ascii="Times New Roman" w:eastAsia="Times New Roman" w:hAnsi="Times New Roman" w:cs="Times New Roman"/>
          <w:sz w:val="24"/>
          <w:szCs w:val="24"/>
          <w:lang w:eastAsia="es-MX"/>
        </w:rPr>
        <w:t xml:space="preserve">. (2001), </w:t>
      </w:r>
      <w:r w:rsidRPr="005A17FA">
        <w:rPr>
          <w:rFonts w:ascii="Times New Roman" w:eastAsia="Times New Roman" w:hAnsi="Times New Roman" w:cs="Times New Roman"/>
          <w:i/>
          <w:iCs/>
          <w:sz w:val="24"/>
          <w:szCs w:val="24"/>
          <w:lang w:eastAsia="es-MX"/>
        </w:rPr>
        <w:t>La Globalización. Consecuencias Humanas</w:t>
      </w:r>
      <w:r w:rsidRPr="005A17FA">
        <w:rPr>
          <w:rFonts w:ascii="Times New Roman" w:eastAsia="Times New Roman" w:hAnsi="Times New Roman" w:cs="Times New Roman"/>
          <w:sz w:val="24"/>
          <w:szCs w:val="24"/>
          <w:lang w:eastAsia="es-MX"/>
        </w:rPr>
        <w:t>, México, FCE, 169 pp.</w:t>
      </w:r>
    </w:p>
    <w:p w14:paraId="6CEF4615" w14:textId="000316DB"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 xml:space="preserve">Berger, Peter y Thomas Luckmann (1976), </w:t>
      </w:r>
      <w:r w:rsidRPr="005A17FA">
        <w:rPr>
          <w:rFonts w:ascii="Times New Roman" w:eastAsia="Times New Roman" w:hAnsi="Times New Roman" w:cs="Times New Roman"/>
          <w:i/>
          <w:iCs/>
          <w:sz w:val="24"/>
          <w:szCs w:val="24"/>
          <w:lang w:eastAsia="es-MX"/>
        </w:rPr>
        <w:t>La construcción social de la realidad</w:t>
      </w:r>
      <w:r w:rsidRPr="005A17FA">
        <w:rPr>
          <w:rFonts w:ascii="Times New Roman" w:eastAsia="Times New Roman" w:hAnsi="Times New Roman" w:cs="Times New Roman"/>
          <w:sz w:val="24"/>
          <w:szCs w:val="24"/>
          <w:lang w:eastAsia="es-MX"/>
        </w:rPr>
        <w:t xml:space="preserve">, </w:t>
      </w:r>
      <w:r w:rsidR="0079286B" w:rsidRPr="005A17FA">
        <w:rPr>
          <w:rFonts w:ascii="Times New Roman" w:eastAsia="Times New Roman" w:hAnsi="Times New Roman" w:cs="Times New Roman"/>
          <w:sz w:val="24"/>
          <w:szCs w:val="24"/>
          <w:lang w:eastAsia="es-MX"/>
        </w:rPr>
        <w:t xml:space="preserve">Argentina, </w:t>
      </w:r>
      <w:r w:rsidRPr="005A17FA">
        <w:rPr>
          <w:rFonts w:ascii="Times New Roman" w:eastAsia="Times New Roman" w:hAnsi="Times New Roman" w:cs="Times New Roman"/>
          <w:sz w:val="24"/>
          <w:szCs w:val="24"/>
          <w:lang w:eastAsia="es-MX"/>
        </w:rPr>
        <w:t>Amorrortu Editores.</w:t>
      </w:r>
    </w:p>
    <w:p w14:paraId="32609149" w14:textId="20812077"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Bourdieu, P. (1997a)</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w:t>
      </w:r>
      <w:r w:rsidRPr="005A17FA">
        <w:rPr>
          <w:rFonts w:ascii="Times New Roman" w:eastAsia="Times New Roman" w:hAnsi="Times New Roman" w:cs="Times New Roman"/>
          <w:i/>
          <w:iCs/>
          <w:sz w:val="24"/>
          <w:szCs w:val="24"/>
          <w:lang w:eastAsia="es-MX"/>
        </w:rPr>
        <w:t>Capital cultural, escuela y espacio social</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México</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Siglo XXI.</w:t>
      </w:r>
    </w:p>
    <w:p w14:paraId="3DB26886" w14:textId="4DCA3904"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Bourdieu, P. (1997b)</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w:t>
      </w:r>
      <w:r w:rsidRPr="005A17FA">
        <w:rPr>
          <w:rFonts w:ascii="Times New Roman" w:eastAsia="Times New Roman" w:hAnsi="Times New Roman" w:cs="Times New Roman"/>
          <w:i/>
          <w:iCs/>
          <w:sz w:val="24"/>
          <w:szCs w:val="24"/>
          <w:lang w:eastAsia="es-MX"/>
        </w:rPr>
        <w:t>Razones prácticas. Sobre la teoría de la acción</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w:t>
      </w:r>
      <w:r w:rsidR="0079286B" w:rsidRPr="005A17FA">
        <w:rPr>
          <w:rFonts w:ascii="Times New Roman" w:eastAsia="Times New Roman" w:hAnsi="Times New Roman" w:cs="Times New Roman"/>
          <w:sz w:val="24"/>
          <w:szCs w:val="24"/>
          <w:lang w:eastAsia="es-MX"/>
        </w:rPr>
        <w:t>(</w:t>
      </w:r>
      <w:proofErr w:type="spellStart"/>
      <w:r w:rsidRPr="005A17FA">
        <w:rPr>
          <w:rFonts w:ascii="Times New Roman" w:eastAsia="Times New Roman" w:hAnsi="Times New Roman" w:cs="Times New Roman"/>
          <w:sz w:val="24"/>
          <w:szCs w:val="24"/>
          <w:lang w:eastAsia="es-MX"/>
        </w:rPr>
        <w:t>Tr</w:t>
      </w:r>
      <w:proofErr w:type="spellEnd"/>
      <w:r w:rsidRPr="005A17FA">
        <w:rPr>
          <w:rFonts w:ascii="Times New Roman" w:eastAsia="Times New Roman" w:hAnsi="Times New Roman" w:cs="Times New Roman"/>
          <w:sz w:val="24"/>
          <w:szCs w:val="24"/>
          <w:lang w:eastAsia="es-MX"/>
        </w:rPr>
        <w:t xml:space="preserve">. Thomas </w:t>
      </w:r>
      <w:proofErr w:type="spellStart"/>
      <w:r w:rsidRPr="005A17FA">
        <w:rPr>
          <w:rFonts w:ascii="Times New Roman" w:eastAsia="Times New Roman" w:hAnsi="Times New Roman" w:cs="Times New Roman"/>
          <w:sz w:val="24"/>
          <w:szCs w:val="24"/>
          <w:lang w:eastAsia="es-MX"/>
        </w:rPr>
        <w:t>Kauf</w:t>
      </w:r>
      <w:proofErr w:type="spellEnd"/>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Barcelona</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Editorial Anagrama.</w:t>
      </w:r>
    </w:p>
    <w:p w14:paraId="0060AFB4" w14:textId="12978C23"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Bourdieu, P. (2002)</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w:t>
      </w:r>
      <w:r w:rsidRPr="005A17FA">
        <w:rPr>
          <w:rFonts w:ascii="Times New Roman" w:eastAsia="Times New Roman" w:hAnsi="Times New Roman" w:cs="Times New Roman"/>
          <w:i/>
          <w:iCs/>
          <w:sz w:val="24"/>
          <w:szCs w:val="24"/>
          <w:lang w:eastAsia="es-MX"/>
        </w:rPr>
        <w:t>La distinción. Criterio y bases sociales del gusto</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w:t>
      </w:r>
      <w:r w:rsidR="0079286B" w:rsidRPr="005A17FA">
        <w:rPr>
          <w:rFonts w:ascii="Times New Roman" w:eastAsia="Times New Roman" w:hAnsi="Times New Roman" w:cs="Times New Roman"/>
          <w:sz w:val="24"/>
          <w:szCs w:val="24"/>
          <w:lang w:eastAsia="es-MX"/>
        </w:rPr>
        <w:t>(</w:t>
      </w:r>
      <w:proofErr w:type="spellStart"/>
      <w:r w:rsidRPr="005A17FA">
        <w:rPr>
          <w:rFonts w:ascii="Times New Roman" w:eastAsia="Times New Roman" w:hAnsi="Times New Roman" w:cs="Times New Roman"/>
          <w:sz w:val="24"/>
          <w:szCs w:val="24"/>
          <w:lang w:eastAsia="es-MX"/>
        </w:rPr>
        <w:t>Tr</w:t>
      </w:r>
      <w:proofErr w:type="spellEnd"/>
      <w:r w:rsidRPr="005A17FA">
        <w:rPr>
          <w:rFonts w:ascii="Times New Roman" w:eastAsia="Times New Roman" w:hAnsi="Times New Roman" w:cs="Times New Roman"/>
          <w:sz w:val="24"/>
          <w:szCs w:val="24"/>
          <w:lang w:eastAsia="es-MX"/>
        </w:rPr>
        <w:t>. Carmen Ruiz</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Madrid</w:t>
      </w:r>
      <w:r w:rsidR="0079286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Taurus.</w:t>
      </w:r>
    </w:p>
    <w:p w14:paraId="184149C2" w14:textId="77777777"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 xml:space="preserve">Canales, Alejandro y Christian </w:t>
      </w:r>
      <w:proofErr w:type="spellStart"/>
      <w:r w:rsidRPr="005A17FA">
        <w:rPr>
          <w:rFonts w:ascii="Times New Roman" w:eastAsia="Times New Roman" w:hAnsi="Times New Roman" w:cs="Times New Roman"/>
          <w:sz w:val="24"/>
          <w:szCs w:val="24"/>
          <w:lang w:eastAsia="es-MX"/>
        </w:rPr>
        <w:t>Zlolniski</w:t>
      </w:r>
      <w:proofErr w:type="spellEnd"/>
      <w:r w:rsidRPr="005A17FA">
        <w:rPr>
          <w:rFonts w:ascii="Times New Roman" w:eastAsia="Times New Roman" w:hAnsi="Times New Roman" w:cs="Times New Roman"/>
          <w:sz w:val="24"/>
          <w:szCs w:val="24"/>
          <w:lang w:eastAsia="es-MX"/>
        </w:rPr>
        <w:t xml:space="preserve"> (2001), “Comunidades Transnacionales y Migración en la Era de la Globalización”, </w:t>
      </w:r>
      <w:r w:rsidRPr="005A17FA">
        <w:rPr>
          <w:rFonts w:ascii="Times New Roman" w:eastAsia="Times New Roman" w:hAnsi="Times New Roman" w:cs="Times New Roman"/>
          <w:i/>
          <w:iCs/>
          <w:sz w:val="24"/>
          <w:szCs w:val="24"/>
          <w:lang w:eastAsia="es-MX"/>
        </w:rPr>
        <w:t>Notas de Población</w:t>
      </w:r>
      <w:r w:rsidRPr="005A17FA">
        <w:rPr>
          <w:rFonts w:ascii="Times New Roman" w:eastAsia="Times New Roman" w:hAnsi="Times New Roman" w:cs="Times New Roman"/>
          <w:sz w:val="24"/>
          <w:szCs w:val="24"/>
          <w:lang w:eastAsia="es-MX"/>
        </w:rPr>
        <w:t>, No. 73, pp. 221-252.</w:t>
      </w:r>
    </w:p>
    <w:p w14:paraId="1BB76841" w14:textId="77777777"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proofErr w:type="spellStart"/>
      <w:r w:rsidRPr="005A17FA">
        <w:rPr>
          <w:rFonts w:ascii="Times New Roman" w:eastAsia="Times New Roman" w:hAnsi="Times New Roman" w:cs="Times New Roman"/>
          <w:sz w:val="24"/>
          <w:szCs w:val="24"/>
          <w:lang w:eastAsia="es-MX"/>
        </w:rPr>
        <w:t>Castles</w:t>
      </w:r>
      <w:proofErr w:type="spellEnd"/>
      <w:r w:rsidRPr="005A17FA">
        <w:rPr>
          <w:rFonts w:ascii="Times New Roman" w:eastAsia="Times New Roman" w:hAnsi="Times New Roman" w:cs="Times New Roman"/>
          <w:sz w:val="24"/>
          <w:szCs w:val="24"/>
          <w:lang w:eastAsia="es-MX"/>
        </w:rPr>
        <w:t xml:space="preserve">, Stephen y Mark J. Miller, (2004), </w:t>
      </w:r>
      <w:r w:rsidRPr="005A17FA">
        <w:rPr>
          <w:rFonts w:ascii="Times New Roman" w:eastAsia="Times New Roman" w:hAnsi="Times New Roman" w:cs="Times New Roman"/>
          <w:i/>
          <w:iCs/>
          <w:sz w:val="24"/>
          <w:szCs w:val="24"/>
          <w:lang w:eastAsia="es-MX"/>
        </w:rPr>
        <w:t>La era de la migración Movimientos internacionales de población en el mundo moderno</w:t>
      </w:r>
      <w:r w:rsidRPr="005A17FA">
        <w:rPr>
          <w:rFonts w:ascii="Times New Roman" w:eastAsia="Times New Roman" w:hAnsi="Times New Roman" w:cs="Times New Roman"/>
          <w:sz w:val="24"/>
          <w:szCs w:val="24"/>
          <w:lang w:eastAsia="es-MX"/>
        </w:rPr>
        <w:t xml:space="preserve">, Colección América Latina y el Nuevo Orden Mundial. México: Miguel Ángel </w:t>
      </w:r>
      <w:proofErr w:type="spellStart"/>
      <w:r w:rsidRPr="005A17FA">
        <w:rPr>
          <w:rFonts w:ascii="Times New Roman" w:eastAsia="Times New Roman" w:hAnsi="Times New Roman" w:cs="Times New Roman"/>
          <w:sz w:val="24"/>
          <w:szCs w:val="24"/>
          <w:lang w:eastAsia="es-MX"/>
        </w:rPr>
        <w:t>Porrua</w:t>
      </w:r>
      <w:proofErr w:type="spellEnd"/>
      <w:r w:rsidRPr="005A17FA">
        <w:rPr>
          <w:rFonts w:ascii="Times New Roman" w:eastAsia="Times New Roman" w:hAnsi="Times New Roman" w:cs="Times New Roman"/>
          <w:sz w:val="24"/>
          <w:szCs w:val="24"/>
          <w:lang w:eastAsia="es-MX"/>
        </w:rPr>
        <w:t>, UAZ, Cámara de Diputados LIX Legislatura, Fundación Colosio, Secretaría de Gobernación, Instituto Nacional de Migración.</w:t>
      </w:r>
    </w:p>
    <w:p w14:paraId="6627401D" w14:textId="77777777" w:rsidR="00EF7BBC" w:rsidRPr="005A17FA" w:rsidRDefault="00EF7BBC" w:rsidP="005A17FA">
      <w:pPr>
        <w:spacing w:after="0" w:line="360" w:lineRule="auto"/>
        <w:ind w:left="709" w:hanging="709"/>
        <w:jc w:val="both"/>
        <w:rPr>
          <w:rFonts w:ascii="Times New Roman" w:hAnsi="Times New Roman" w:cs="Times New Roman"/>
          <w:color w:val="000000"/>
          <w:sz w:val="24"/>
          <w:szCs w:val="24"/>
        </w:rPr>
      </w:pPr>
      <w:r w:rsidRPr="005A17FA">
        <w:rPr>
          <w:rFonts w:ascii="Times New Roman" w:hAnsi="Times New Roman" w:cs="Times New Roman"/>
          <w:color w:val="000000"/>
          <w:sz w:val="24"/>
          <w:szCs w:val="24"/>
        </w:rPr>
        <w:t xml:space="preserve">Del Monte Madrigal, Juan Antonio (2019), “Del retorno forzado a la vida en la calle. La transición a la indigencia en una ciudad fronteriza del norte de México”, en Liliana Rivera Sánchez (coordinadora), </w:t>
      </w:r>
      <w:r w:rsidRPr="005A17FA">
        <w:rPr>
          <w:rFonts w:ascii="Times New Roman" w:hAnsi="Times New Roman" w:cs="Times New Roman"/>
          <w:i/>
          <w:iCs/>
          <w:color w:val="000000"/>
          <w:sz w:val="24"/>
          <w:szCs w:val="24"/>
        </w:rPr>
        <w:t>¿Volver a casa? Migrantes de retorno en América Latina. Debates, tendencias y experiencias divergentes</w:t>
      </w:r>
      <w:r w:rsidRPr="005A17FA">
        <w:rPr>
          <w:rFonts w:ascii="Times New Roman" w:hAnsi="Times New Roman" w:cs="Times New Roman"/>
          <w:color w:val="000000"/>
          <w:sz w:val="24"/>
          <w:szCs w:val="24"/>
        </w:rPr>
        <w:t>, México, El Colegio de México, pp. 233-274.</w:t>
      </w:r>
    </w:p>
    <w:p w14:paraId="0AD374ED" w14:textId="3D1FF4A0"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 xml:space="preserve">Durand, Jorge y Douglas Massey </w:t>
      </w:r>
      <w:proofErr w:type="spellStart"/>
      <w:r w:rsidRPr="005A17FA">
        <w:rPr>
          <w:rFonts w:ascii="Times New Roman" w:eastAsia="Times New Roman" w:hAnsi="Times New Roman" w:cs="Times New Roman"/>
          <w:sz w:val="24"/>
          <w:szCs w:val="24"/>
          <w:lang w:eastAsia="es-MX"/>
        </w:rPr>
        <w:t>Massey</w:t>
      </w:r>
      <w:proofErr w:type="spellEnd"/>
      <w:r w:rsidRPr="005A17FA">
        <w:rPr>
          <w:rFonts w:ascii="Times New Roman" w:eastAsia="Times New Roman" w:hAnsi="Times New Roman" w:cs="Times New Roman"/>
          <w:sz w:val="24"/>
          <w:szCs w:val="24"/>
          <w:lang w:eastAsia="es-MX"/>
        </w:rPr>
        <w:t xml:space="preserve"> (2003), </w:t>
      </w:r>
      <w:r w:rsidRPr="005A17FA">
        <w:rPr>
          <w:rFonts w:ascii="Times New Roman" w:eastAsia="Times New Roman" w:hAnsi="Times New Roman" w:cs="Times New Roman"/>
          <w:i/>
          <w:iCs/>
          <w:sz w:val="24"/>
          <w:szCs w:val="24"/>
          <w:lang w:eastAsia="es-MX"/>
        </w:rPr>
        <w:t>Clandestinos Migración México-Estados Unidos en los albores del siglo XXI</w:t>
      </w:r>
      <w:r w:rsidRPr="005A17FA">
        <w:rPr>
          <w:rFonts w:ascii="Times New Roman" w:eastAsia="Times New Roman" w:hAnsi="Times New Roman" w:cs="Times New Roman"/>
          <w:sz w:val="24"/>
          <w:szCs w:val="24"/>
          <w:lang w:eastAsia="es-MX"/>
        </w:rPr>
        <w:t>, Colección América Latina y el Nuevo Orden Mundial. México</w:t>
      </w:r>
      <w:r w:rsidR="00F05D56"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Miguel Ángel </w:t>
      </w:r>
      <w:proofErr w:type="spellStart"/>
      <w:r w:rsidRPr="005A17FA">
        <w:rPr>
          <w:rFonts w:ascii="Times New Roman" w:eastAsia="Times New Roman" w:hAnsi="Times New Roman" w:cs="Times New Roman"/>
          <w:sz w:val="24"/>
          <w:szCs w:val="24"/>
          <w:lang w:eastAsia="es-MX"/>
        </w:rPr>
        <w:t>Porrua</w:t>
      </w:r>
      <w:proofErr w:type="spellEnd"/>
      <w:r w:rsidRPr="005A17FA">
        <w:rPr>
          <w:rFonts w:ascii="Times New Roman" w:eastAsia="Times New Roman" w:hAnsi="Times New Roman" w:cs="Times New Roman"/>
          <w:sz w:val="24"/>
          <w:szCs w:val="24"/>
          <w:lang w:eastAsia="es-MX"/>
        </w:rPr>
        <w:t>, UAZ.</w:t>
      </w:r>
    </w:p>
    <w:p w14:paraId="6D395A26" w14:textId="77777777" w:rsidR="00EF7BBC" w:rsidRPr="005A17FA" w:rsidRDefault="00EF7BBC" w:rsidP="005A17FA">
      <w:pPr>
        <w:spacing w:after="0" w:line="360" w:lineRule="auto"/>
        <w:ind w:left="709" w:hanging="709"/>
        <w:jc w:val="both"/>
        <w:rPr>
          <w:rFonts w:ascii="Times New Roman" w:hAnsi="Times New Roman" w:cs="Times New Roman"/>
          <w:color w:val="000000"/>
          <w:sz w:val="24"/>
          <w:szCs w:val="24"/>
        </w:rPr>
      </w:pPr>
      <w:r w:rsidRPr="005A17FA">
        <w:rPr>
          <w:rFonts w:ascii="Times New Roman" w:hAnsi="Times New Roman" w:cs="Times New Roman"/>
          <w:color w:val="000000"/>
          <w:sz w:val="24"/>
          <w:szCs w:val="24"/>
        </w:rPr>
        <w:t xml:space="preserve">Gandini, Luciana y Aranzalez Ramos, Carlos Andrés (2019), “El retorno migratorio en el escenario </w:t>
      </w:r>
      <w:proofErr w:type="spellStart"/>
      <w:proofErr w:type="gramStart"/>
      <w:r w:rsidRPr="005A17FA">
        <w:rPr>
          <w:rFonts w:ascii="Times New Roman" w:hAnsi="Times New Roman" w:cs="Times New Roman"/>
          <w:color w:val="000000"/>
          <w:sz w:val="24"/>
          <w:szCs w:val="24"/>
        </w:rPr>
        <w:t>post-crisis</w:t>
      </w:r>
      <w:proofErr w:type="spellEnd"/>
      <w:proofErr w:type="gramEnd"/>
      <w:r w:rsidRPr="005A17FA">
        <w:rPr>
          <w:rFonts w:ascii="Times New Roman" w:hAnsi="Times New Roman" w:cs="Times New Roman"/>
          <w:color w:val="000000"/>
          <w:sz w:val="24"/>
          <w:szCs w:val="24"/>
        </w:rPr>
        <w:t xml:space="preserve">. Una mirada a las tendencias recientes en México”, en Liliana Rivera Sánchez (coordinadora), </w:t>
      </w:r>
      <w:r w:rsidRPr="005A17FA">
        <w:rPr>
          <w:rFonts w:ascii="Times New Roman" w:hAnsi="Times New Roman" w:cs="Times New Roman"/>
          <w:i/>
          <w:iCs/>
          <w:color w:val="000000"/>
          <w:sz w:val="24"/>
          <w:szCs w:val="24"/>
        </w:rPr>
        <w:t xml:space="preserve">¿Volver a casa? Migrantes de retorno en América </w:t>
      </w:r>
      <w:r w:rsidRPr="005A17FA">
        <w:rPr>
          <w:rFonts w:ascii="Times New Roman" w:hAnsi="Times New Roman" w:cs="Times New Roman"/>
          <w:i/>
          <w:iCs/>
          <w:color w:val="000000"/>
          <w:sz w:val="24"/>
          <w:szCs w:val="24"/>
        </w:rPr>
        <w:lastRenderedPageBreak/>
        <w:t>Latina. Debates, tendencias y experiencias divergentes</w:t>
      </w:r>
      <w:r w:rsidRPr="005A17FA">
        <w:rPr>
          <w:rFonts w:ascii="Times New Roman" w:hAnsi="Times New Roman" w:cs="Times New Roman"/>
          <w:color w:val="000000"/>
          <w:sz w:val="24"/>
          <w:szCs w:val="24"/>
        </w:rPr>
        <w:t>, México, El Colegio de México, pp. 127-163.</w:t>
      </w:r>
    </w:p>
    <w:p w14:paraId="4C444A88" w14:textId="0DF8721F"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 xml:space="preserve">García Borrego, Iñaki (2006), “Generaciones sociales y sociológicas. Un recorrido histórico por la literatura sociológica estadunidense sobre los hijos de inmigrantes”, </w:t>
      </w:r>
      <w:r w:rsidRPr="005A17FA">
        <w:rPr>
          <w:rFonts w:ascii="Times New Roman" w:eastAsia="Times New Roman" w:hAnsi="Times New Roman" w:cs="Times New Roman"/>
          <w:i/>
          <w:iCs/>
          <w:sz w:val="24"/>
          <w:szCs w:val="24"/>
          <w:lang w:eastAsia="es-MX"/>
        </w:rPr>
        <w:t>Migraciones Internacionales</w:t>
      </w:r>
      <w:r w:rsidRPr="005A17FA">
        <w:rPr>
          <w:rFonts w:ascii="Times New Roman" w:eastAsia="Times New Roman" w:hAnsi="Times New Roman" w:cs="Times New Roman"/>
          <w:sz w:val="24"/>
          <w:szCs w:val="24"/>
          <w:lang w:eastAsia="es-MX"/>
        </w:rPr>
        <w:t>, Vol. 3, Núm. 4, Julio-</w:t>
      </w:r>
      <w:proofErr w:type="gramStart"/>
      <w:r w:rsidRPr="005A17FA">
        <w:rPr>
          <w:rFonts w:ascii="Times New Roman" w:eastAsia="Times New Roman" w:hAnsi="Times New Roman" w:cs="Times New Roman"/>
          <w:sz w:val="24"/>
          <w:szCs w:val="24"/>
          <w:lang w:eastAsia="es-MX"/>
        </w:rPr>
        <w:t>Diciembre</w:t>
      </w:r>
      <w:proofErr w:type="gramEnd"/>
      <w:r w:rsidRPr="005A17FA">
        <w:rPr>
          <w:rFonts w:ascii="Times New Roman" w:eastAsia="Times New Roman" w:hAnsi="Times New Roman" w:cs="Times New Roman"/>
          <w:sz w:val="24"/>
          <w:szCs w:val="24"/>
          <w:lang w:eastAsia="es-MX"/>
        </w:rPr>
        <w:t xml:space="preserve"> de 2006, pp. 5-34</w:t>
      </w:r>
    </w:p>
    <w:p w14:paraId="72EC1E71" w14:textId="39A612C6"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val="en-CA" w:eastAsia="es-MX"/>
        </w:rPr>
      </w:pPr>
      <w:r w:rsidRPr="005A17FA">
        <w:rPr>
          <w:rFonts w:ascii="Times New Roman" w:eastAsia="Times New Roman" w:hAnsi="Times New Roman" w:cs="Times New Roman"/>
          <w:sz w:val="24"/>
          <w:szCs w:val="24"/>
          <w:lang w:val="en-CA" w:eastAsia="es-MX"/>
        </w:rPr>
        <w:t xml:space="preserve">Glick Schiller, </w:t>
      </w:r>
      <w:proofErr w:type="spellStart"/>
      <w:r w:rsidRPr="005A17FA">
        <w:rPr>
          <w:rFonts w:ascii="Times New Roman" w:eastAsia="Times New Roman" w:hAnsi="Times New Roman" w:cs="Times New Roman"/>
          <w:sz w:val="24"/>
          <w:szCs w:val="24"/>
          <w:lang w:val="en-CA" w:eastAsia="es-MX"/>
        </w:rPr>
        <w:t>Ninna</w:t>
      </w:r>
      <w:proofErr w:type="spellEnd"/>
      <w:r w:rsidRPr="005A17FA">
        <w:rPr>
          <w:rFonts w:ascii="Times New Roman" w:eastAsia="Times New Roman" w:hAnsi="Times New Roman" w:cs="Times New Roman"/>
          <w:sz w:val="24"/>
          <w:szCs w:val="24"/>
          <w:lang w:val="en-CA" w:eastAsia="es-MX"/>
        </w:rPr>
        <w:t xml:space="preserve"> (2007), </w:t>
      </w:r>
      <w:r w:rsidR="00F05D56" w:rsidRPr="005A17FA">
        <w:rPr>
          <w:rFonts w:ascii="Times New Roman" w:eastAsia="Times New Roman" w:hAnsi="Times New Roman" w:cs="Times New Roman"/>
          <w:sz w:val="24"/>
          <w:szCs w:val="24"/>
          <w:lang w:val="en-CA" w:eastAsia="es-MX"/>
        </w:rPr>
        <w:t>“</w:t>
      </w:r>
      <w:r w:rsidRPr="005A17FA">
        <w:rPr>
          <w:rFonts w:ascii="Times New Roman" w:eastAsia="Times New Roman" w:hAnsi="Times New Roman" w:cs="Times New Roman"/>
          <w:sz w:val="24"/>
          <w:szCs w:val="24"/>
          <w:lang w:val="en-CA" w:eastAsia="es-MX"/>
        </w:rPr>
        <w:t>Beyond the Nation-State and Its Units of Analysis: Towards a New Research Agenda for Migration Studies. Essentials of Migration Theory</w:t>
      </w:r>
      <w:r w:rsidR="00F05D56" w:rsidRPr="005A17FA">
        <w:rPr>
          <w:rFonts w:ascii="Times New Roman" w:eastAsia="Times New Roman" w:hAnsi="Times New Roman" w:cs="Times New Roman"/>
          <w:sz w:val="24"/>
          <w:szCs w:val="24"/>
          <w:lang w:val="en-CA" w:eastAsia="es-MX"/>
        </w:rPr>
        <w:t>”</w:t>
      </w:r>
      <w:r w:rsidRPr="005A17FA">
        <w:rPr>
          <w:rFonts w:ascii="Times New Roman" w:eastAsia="Times New Roman" w:hAnsi="Times New Roman" w:cs="Times New Roman"/>
          <w:sz w:val="24"/>
          <w:szCs w:val="24"/>
          <w:lang w:val="en-CA" w:eastAsia="es-MX"/>
        </w:rPr>
        <w:t>, Paper presented at the conference on</w:t>
      </w:r>
      <w:r w:rsidR="00F05D56" w:rsidRPr="005A17FA">
        <w:rPr>
          <w:rFonts w:ascii="Times New Roman" w:eastAsia="Times New Roman" w:hAnsi="Times New Roman" w:cs="Times New Roman"/>
          <w:sz w:val="24"/>
          <w:szCs w:val="24"/>
          <w:lang w:val="en-CA" w:eastAsia="es-MX"/>
        </w:rPr>
        <w:t xml:space="preserve"> </w:t>
      </w:r>
      <w:proofErr w:type="spellStart"/>
      <w:r w:rsidRPr="005A17FA">
        <w:rPr>
          <w:rFonts w:ascii="Times New Roman" w:eastAsia="Times New Roman" w:hAnsi="Times New Roman" w:cs="Times New Roman"/>
          <w:sz w:val="24"/>
          <w:szCs w:val="24"/>
          <w:lang w:val="en-CA" w:eastAsia="es-MX"/>
        </w:rPr>
        <w:t>Transnationalisation</w:t>
      </w:r>
      <w:proofErr w:type="spellEnd"/>
      <w:r w:rsidRPr="005A17FA">
        <w:rPr>
          <w:rFonts w:ascii="Times New Roman" w:eastAsia="Times New Roman" w:hAnsi="Times New Roman" w:cs="Times New Roman"/>
          <w:sz w:val="24"/>
          <w:szCs w:val="24"/>
          <w:lang w:val="en-CA" w:eastAsia="es-MX"/>
        </w:rPr>
        <w:t xml:space="preserve"> and Development(s): Towards a North-South Perspective‟, Center for Interdisciplinary Research, Bielefeld, Germany, May 31 - June 01, 2007.</w:t>
      </w:r>
    </w:p>
    <w:p w14:paraId="6758C97D" w14:textId="2159BF71"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val="en-CA" w:eastAsia="es-MX"/>
        </w:rPr>
        <w:t xml:space="preserve">Glick Schiller, </w:t>
      </w:r>
      <w:proofErr w:type="spellStart"/>
      <w:r w:rsidRPr="005A17FA">
        <w:rPr>
          <w:rFonts w:ascii="Times New Roman" w:eastAsia="Times New Roman" w:hAnsi="Times New Roman" w:cs="Times New Roman"/>
          <w:sz w:val="24"/>
          <w:szCs w:val="24"/>
          <w:lang w:val="en-CA" w:eastAsia="es-MX"/>
        </w:rPr>
        <w:t>Ninna</w:t>
      </w:r>
      <w:proofErr w:type="spellEnd"/>
      <w:r w:rsidRPr="005A17FA">
        <w:rPr>
          <w:rFonts w:ascii="Times New Roman" w:eastAsia="Times New Roman" w:hAnsi="Times New Roman" w:cs="Times New Roman"/>
          <w:sz w:val="24"/>
          <w:szCs w:val="24"/>
          <w:lang w:val="en-CA" w:eastAsia="es-MX"/>
        </w:rPr>
        <w:t xml:space="preserve">, Linda </w:t>
      </w:r>
      <w:proofErr w:type="spellStart"/>
      <w:r w:rsidRPr="005A17FA">
        <w:rPr>
          <w:rFonts w:ascii="Times New Roman" w:eastAsia="Times New Roman" w:hAnsi="Times New Roman" w:cs="Times New Roman"/>
          <w:sz w:val="24"/>
          <w:szCs w:val="24"/>
          <w:lang w:val="en-CA" w:eastAsia="es-MX"/>
        </w:rPr>
        <w:t>Basch</w:t>
      </w:r>
      <w:proofErr w:type="spellEnd"/>
      <w:r w:rsidRPr="005A17FA">
        <w:rPr>
          <w:rFonts w:ascii="Times New Roman" w:eastAsia="Times New Roman" w:hAnsi="Times New Roman" w:cs="Times New Roman"/>
          <w:sz w:val="24"/>
          <w:szCs w:val="24"/>
          <w:lang w:val="en-CA" w:eastAsia="es-MX"/>
        </w:rPr>
        <w:t xml:space="preserve"> y Cristina </w:t>
      </w:r>
      <w:proofErr w:type="spellStart"/>
      <w:r w:rsidRPr="005A17FA">
        <w:rPr>
          <w:rFonts w:ascii="Times New Roman" w:eastAsia="Times New Roman" w:hAnsi="Times New Roman" w:cs="Times New Roman"/>
          <w:sz w:val="24"/>
          <w:szCs w:val="24"/>
          <w:lang w:val="en-CA" w:eastAsia="es-MX"/>
        </w:rPr>
        <w:t>Szanton</w:t>
      </w:r>
      <w:proofErr w:type="spellEnd"/>
      <w:r w:rsidRPr="005A17FA">
        <w:rPr>
          <w:rFonts w:ascii="Times New Roman" w:eastAsia="Times New Roman" w:hAnsi="Times New Roman" w:cs="Times New Roman"/>
          <w:sz w:val="24"/>
          <w:szCs w:val="24"/>
          <w:lang w:val="en-CA" w:eastAsia="es-MX"/>
        </w:rPr>
        <w:t xml:space="preserve">-Blanc (1992), “Transnationalism: a new analytical framework for understanding migration”, N. Glick Schiller; L. </w:t>
      </w:r>
      <w:proofErr w:type="spellStart"/>
      <w:r w:rsidRPr="005A17FA">
        <w:rPr>
          <w:rFonts w:ascii="Times New Roman" w:eastAsia="Times New Roman" w:hAnsi="Times New Roman" w:cs="Times New Roman"/>
          <w:sz w:val="24"/>
          <w:szCs w:val="24"/>
          <w:lang w:val="en-CA" w:eastAsia="es-MX"/>
        </w:rPr>
        <w:t>Basch</w:t>
      </w:r>
      <w:proofErr w:type="spellEnd"/>
      <w:r w:rsidRPr="005A17FA">
        <w:rPr>
          <w:rFonts w:ascii="Times New Roman" w:eastAsia="Times New Roman" w:hAnsi="Times New Roman" w:cs="Times New Roman"/>
          <w:sz w:val="24"/>
          <w:szCs w:val="24"/>
          <w:lang w:val="en-CA" w:eastAsia="es-MX"/>
        </w:rPr>
        <w:t xml:space="preserve"> y C. </w:t>
      </w:r>
      <w:proofErr w:type="spellStart"/>
      <w:r w:rsidRPr="005A17FA">
        <w:rPr>
          <w:rFonts w:ascii="Times New Roman" w:eastAsia="Times New Roman" w:hAnsi="Times New Roman" w:cs="Times New Roman"/>
          <w:sz w:val="24"/>
          <w:szCs w:val="24"/>
          <w:lang w:val="en-CA" w:eastAsia="es-MX"/>
        </w:rPr>
        <w:t>Szanton</w:t>
      </w:r>
      <w:proofErr w:type="spellEnd"/>
      <w:r w:rsidRPr="005A17FA">
        <w:rPr>
          <w:rFonts w:ascii="Times New Roman" w:eastAsia="Times New Roman" w:hAnsi="Times New Roman" w:cs="Times New Roman"/>
          <w:sz w:val="24"/>
          <w:szCs w:val="24"/>
          <w:lang w:val="en-CA" w:eastAsia="es-MX"/>
        </w:rPr>
        <w:t>-Blanc (comps.)</w:t>
      </w:r>
      <w:r w:rsidR="00A071E3" w:rsidRPr="005A17FA">
        <w:rPr>
          <w:rFonts w:ascii="Times New Roman" w:eastAsia="Times New Roman" w:hAnsi="Times New Roman" w:cs="Times New Roman"/>
          <w:sz w:val="24"/>
          <w:szCs w:val="24"/>
          <w:lang w:val="en-CA" w:eastAsia="es-MX"/>
        </w:rPr>
        <w:t xml:space="preserve"> </w:t>
      </w:r>
      <w:proofErr w:type="spellStart"/>
      <w:r w:rsidR="00A071E3" w:rsidRPr="005A17FA">
        <w:rPr>
          <w:rFonts w:ascii="Times New Roman" w:eastAsia="Times New Roman" w:hAnsi="Times New Roman" w:cs="Times New Roman"/>
          <w:i/>
          <w:iCs/>
          <w:sz w:val="24"/>
          <w:szCs w:val="24"/>
          <w:lang w:eastAsia="es-MX"/>
        </w:rPr>
        <w:t>Towards</w:t>
      </w:r>
      <w:proofErr w:type="spellEnd"/>
      <w:r w:rsidR="00A071E3" w:rsidRPr="005A17FA">
        <w:rPr>
          <w:rFonts w:ascii="Times New Roman" w:eastAsia="Times New Roman" w:hAnsi="Times New Roman" w:cs="Times New Roman"/>
          <w:i/>
          <w:iCs/>
          <w:sz w:val="24"/>
          <w:szCs w:val="24"/>
          <w:lang w:eastAsia="es-MX"/>
        </w:rPr>
        <w:t xml:space="preserve"> a </w:t>
      </w:r>
      <w:proofErr w:type="spellStart"/>
      <w:r w:rsidR="00A071E3" w:rsidRPr="005A17FA">
        <w:rPr>
          <w:rFonts w:ascii="Times New Roman" w:eastAsia="Times New Roman" w:hAnsi="Times New Roman" w:cs="Times New Roman"/>
          <w:i/>
          <w:iCs/>
          <w:sz w:val="24"/>
          <w:szCs w:val="24"/>
          <w:lang w:eastAsia="es-MX"/>
        </w:rPr>
        <w:t>Transnational</w:t>
      </w:r>
      <w:proofErr w:type="spellEnd"/>
      <w:r w:rsidR="00A071E3" w:rsidRPr="005A17FA">
        <w:rPr>
          <w:rFonts w:ascii="Times New Roman" w:eastAsia="Times New Roman" w:hAnsi="Times New Roman" w:cs="Times New Roman"/>
          <w:i/>
          <w:iCs/>
          <w:sz w:val="24"/>
          <w:szCs w:val="24"/>
          <w:lang w:eastAsia="es-MX"/>
        </w:rPr>
        <w:t xml:space="preserve"> </w:t>
      </w:r>
      <w:proofErr w:type="spellStart"/>
      <w:r w:rsidR="00A071E3" w:rsidRPr="005A17FA">
        <w:rPr>
          <w:rFonts w:ascii="Times New Roman" w:eastAsia="Times New Roman" w:hAnsi="Times New Roman" w:cs="Times New Roman"/>
          <w:i/>
          <w:iCs/>
          <w:sz w:val="24"/>
          <w:szCs w:val="24"/>
          <w:lang w:eastAsia="es-MX"/>
        </w:rPr>
        <w:t>Perspective</w:t>
      </w:r>
      <w:proofErr w:type="spellEnd"/>
      <w:r w:rsidR="00A071E3" w:rsidRPr="005A17FA">
        <w:rPr>
          <w:rFonts w:ascii="Times New Roman" w:eastAsia="Times New Roman" w:hAnsi="Times New Roman" w:cs="Times New Roman"/>
          <w:i/>
          <w:iCs/>
          <w:sz w:val="24"/>
          <w:szCs w:val="24"/>
          <w:lang w:eastAsia="es-MX"/>
        </w:rPr>
        <w:t xml:space="preserve"> </w:t>
      </w:r>
      <w:proofErr w:type="spellStart"/>
      <w:r w:rsidR="00A071E3" w:rsidRPr="005A17FA">
        <w:rPr>
          <w:rFonts w:ascii="Times New Roman" w:eastAsia="Times New Roman" w:hAnsi="Times New Roman" w:cs="Times New Roman"/>
          <w:i/>
          <w:iCs/>
          <w:sz w:val="24"/>
          <w:szCs w:val="24"/>
          <w:lang w:eastAsia="es-MX"/>
        </w:rPr>
        <w:t>on</w:t>
      </w:r>
      <w:proofErr w:type="spellEnd"/>
      <w:r w:rsidR="00A071E3" w:rsidRPr="005A17FA">
        <w:rPr>
          <w:rFonts w:ascii="Times New Roman" w:eastAsia="Times New Roman" w:hAnsi="Times New Roman" w:cs="Times New Roman"/>
          <w:i/>
          <w:iCs/>
          <w:sz w:val="24"/>
          <w:szCs w:val="24"/>
          <w:lang w:eastAsia="es-MX"/>
        </w:rPr>
        <w:t xml:space="preserve"> </w:t>
      </w:r>
      <w:proofErr w:type="spellStart"/>
      <w:r w:rsidR="00A071E3" w:rsidRPr="005A17FA">
        <w:rPr>
          <w:rFonts w:ascii="Times New Roman" w:eastAsia="Times New Roman" w:hAnsi="Times New Roman" w:cs="Times New Roman"/>
          <w:i/>
          <w:iCs/>
          <w:sz w:val="24"/>
          <w:szCs w:val="24"/>
          <w:lang w:eastAsia="es-MX"/>
        </w:rPr>
        <w:t>Migration</w:t>
      </w:r>
      <w:proofErr w:type="spellEnd"/>
      <w:r w:rsidRPr="005A17FA">
        <w:rPr>
          <w:rFonts w:ascii="Times New Roman" w:eastAsia="Times New Roman" w:hAnsi="Times New Roman" w:cs="Times New Roman"/>
          <w:sz w:val="24"/>
          <w:szCs w:val="24"/>
          <w:lang w:eastAsia="es-MX"/>
        </w:rPr>
        <w:t>, Nueva York, Academia de Ciencias de Nueva York.</w:t>
      </w:r>
    </w:p>
    <w:p w14:paraId="5436A4BD" w14:textId="77777777" w:rsidR="00EF7BBC" w:rsidRPr="005A17FA" w:rsidRDefault="00EF7BBC" w:rsidP="005A17FA">
      <w:pPr>
        <w:spacing w:after="0" w:line="360" w:lineRule="auto"/>
        <w:ind w:left="709" w:hanging="709"/>
        <w:jc w:val="both"/>
        <w:rPr>
          <w:rFonts w:ascii="Times New Roman" w:hAnsi="Times New Roman" w:cs="Times New Roman"/>
          <w:color w:val="000000"/>
          <w:sz w:val="24"/>
          <w:szCs w:val="24"/>
        </w:rPr>
      </w:pPr>
      <w:r w:rsidRPr="005A17FA">
        <w:rPr>
          <w:rFonts w:ascii="Times New Roman" w:hAnsi="Times New Roman" w:cs="Times New Roman"/>
          <w:color w:val="000000"/>
          <w:sz w:val="24"/>
          <w:szCs w:val="24"/>
        </w:rPr>
        <w:t xml:space="preserve">Hualde, Alfredo y París, María Dolores (2019), “Mercados de Trabajo y reinserción laboral de deportados en Tijuana, Baja California”, en Liliana Rivera Sánchez (coordinadora), </w:t>
      </w:r>
      <w:r w:rsidRPr="005A17FA">
        <w:rPr>
          <w:rFonts w:ascii="Times New Roman" w:hAnsi="Times New Roman" w:cs="Times New Roman"/>
          <w:i/>
          <w:iCs/>
          <w:color w:val="000000"/>
          <w:sz w:val="24"/>
          <w:szCs w:val="24"/>
        </w:rPr>
        <w:t>¿Volver a casa? Migrantes de retorno en América Latina. Debates, tendencias y experiencias divergentes</w:t>
      </w:r>
      <w:r w:rsidRPr="005A17FA">
        <w:rPr>
          <w:rFonts w:ascii="Times New Roman" w:hAnsi="Times New Roman" w:cs="Times New Roman"/>
          <w:color w:val="000000"/>
          <w:sz w:val="24"/>
          <w:szCs w:val="24"/>
        </w:rPr>
        <w:t>, México, El Colegio de México, pp. 167-200.</w:t>
      </w:r>
    </w:p>
    <w:p w14:paraId="4F5AC8D1" w14:textId="364FF4C2"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 xml:space="preserve">Marx, Karl y Federico Engels (1980 [1848]), </w:t>
      </w:r>
      <w:r w:rsidRPr="005A17FA">
        <w:rPr>
          <w:rFonts w:ascii="Times New Roman" w:eastAsia="Times New Roman" w:hAnsi="Times New Roman" w:cs="Times New Roman"/>
          <w:i/>
          <w:iCs/>
          <w:sz w:val="24"/>
          <w:szCs w:val="24"/>
          <w:lang w:eastAsia="es-MX"/>
        </w:rPr>
        <w:t>Manifiesto del Partido Comunista</w:t>
      </w:r>
      <w:r w:rsidRPr="005A17FA">
        <w:rPr>
          <w:rFonts w:ascii="Times New Roman" w:eastAsia="Times New Roman" w:hAnsi="Times New Roman" w:cs="Times New Roman"/>
          <w:sz w:val="24"/>
          <w:szCs w:val="24"/>
          <w:lang w:eastAsia="es-MX"/>
        </w:rPr>
        <w:t xml:space="preserve">, </w:t>
      </w:r>
      <w:r w:rsidR="00A071E3" w:rsidRPr="005A17FA">
        <w:rPr>
          <w:rFonts w:ascii="Times New Roman" w:eastAsia="Times New Roman" w:hAnsi="Times New Roman" w:cs="Times New Roman"/>
          <w:sz w:val="24"/>
          <w:szCs w:val="24"/>
          <w:lang w:eastAsia="es-MX"/>
        </w:rPr>
        <w:t xml:space="preserve">México, </w:t>
      </w:r>
      <w:r w:rsidRPr="005A17FA">
        <w:rPr>
          <w:rFonts w:ascii="Times New Roman" w:eastAsia="Times New Roman" w:hAnsi="Times New Roman" w:cs="Times New Roman"/>
          <w:sz w:val="24"/>
          <w:szCs w:val="24"/>
          <w:lang w:eastAsia="es-MX"/>
        </w:rPr>
        <w:t>Quinto Sol.</w:t>
      </w:r>
    </w:p>
    <w:p w14:paraId="68D6D1D1" w14:textId="77777777" w:rsidR="00EF7BBC" w:rsidRPr="005A17FA" w:rsidRDefault="00EF7BBC" w:rsidP="005A17FA">
      <w:pPr>
        <w:spacing w:after="0" w:line="360" w:lineRule="auto"/>
        <w:ind w:left="709" w:hanging="709"/>
        <w:jc w:val="both"/>
        <w:rPr>
          <w:rFonts w:ascii="Times New Roman" w:hAnsi="Times New Roman" w:cs="Times New Roman"/>
          <w:color w:val="000000"/>
          <w:sz w:val="24"/>
          <w:szCs w:val="24"/>
        </w:rPr>
      </w:pPr>
      <w:r w:rsidRPr="005A17FA">
        <w:rPr>
          <w:rFonts w:ascii="Times New Roman" w:hAnsi="Times New Roman" w:cs="Times New Roman"/>
          <w:color w:val="000000"/>
          <w:sz w:val="24"/>
          <w:szCs w:val="24"/>
        </w:rPr>
        <w:t xml:space="preserve">Masferrer, Claudia y Prieto, Victoria (2019), “Perfil sociodemográfico del retorno migratorio reciente. Diferencias y similitudes entre contextos de procedencia y de acogida en América Latina”, en Liliana Rivera Sánchez (coordinadora), </w:t>
      </w:r>
      <w:r w:rsidRPr="005A17FA">
        <w:rPr>
          <w:rFonts w:ascii="Times New Roman" w:hAnsi="Times New Roman" w:cs="Times New Roman"/>
          <w:i/>
          <w:iCs/>
          <w:color w:val="000000"/>
          <w:sz w:val="24"/>
          <w:szCs w:val="24"/>
        </w:rPr>
        <w:t>¿Volver a casa? Migrantes de retorno en América Latina. Debates, tendencias y experiencias divergentes</w:t>
      </w:r>
      <w:r w:rsidRPr="005A17FA">
        <w:rPr>
          <w:rFonts w:ascii="Times New Roman" w:hAnsi="Times New Roman" w:cs="Times New Roman"/>
          <w:color w:val="000000"/>
          <w:sz w:val="24"/>
          <w:szCs w:val="24"/>
        </w:rPr>
        <w:t>, México, El Colegio de México, pp. 67-126.</w:t>
      </w:r>
    </w:p>
    <w:p w14:paraId="143C1B3E" w14:textId="05893CCD"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 xml:space="preserve">Massey, D., et.al. (2000), “Teorías sobre la migración internacional: una reseña y una evaluación”, en </w:t>
      </w:r>
      <w:r w:rsidRPr="005A17FA">
        <w:rPr>
          <w:rFonts w:ascii="Times New Roman" w:eastAsia="Times New Roman" w:hAnsi="Times New Roman" w:cs="Times New Roman"/>
          <w:i/>
          <w:iCs/>
          <w:sz w:val="24"/>
          <w:szCs w:val="24"/>
          <w:lang w:eastAsia="es-MX"/>
        </w:rPr>
        <w:t>Migraciones y mercados de trabajo</w:t>
      </w:r>
      <w:r w:rsidRPr="005A17FA">
        <w:rPr>
          <w:rFonts w:ascii="Times New Roman" w:eastAsia="Times New Roman" w:hAnsi="Times New Roman" w:cs="Times New Roman"/>
          <w:sz w:val="24"/>
          <w:szCs w:val="24"/>
          <w:lang w:eastAsia="es-MX"/>
        </w:rPr>
        <w:t xml:space="preserve">, </w:t>
      </w:r>
      <w:r w:rsidR="001E1DA4" w:rsidRPr="005A17FA">
        <w:rPr>
          <w:rFonts w:ascii="Times New Roman" w:eastAsia="Times New Roman" w:hAnsi="Times New Roman" w:cs="Times New Roman"/>
          <w:sz w:val="24"/>
          <w:szCs w:val="24"/>
          <w:lang w:eastAsia="es-MX"/>
        </w:rPr>
        <w:t xml:space="preserve">México, </w:t>
      </w:r>
      <w:r w:rsidRPr="005A17FA">
        <w:rPr>
          <w:rFonts w:ascii="Times New Roman" w:eastAsia="Times New Roman" w:hAnsi="Times New Roman" w:cs="Times New Roman"/>
          <w:sz w:val="24"/>
          <w:szCs w:val="24"/>
          <w:lang w:eastAsia="es-MX"/>
        </w:rPr>
        <w:t>UAM, UNAM y Plaza Valdés y Editores</w:t>
      </w:r>
      <w:r w:rsidR="001E1DA4"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pp. 5-49.</w:t>
      </w:r>
    </w:p>
    <w:p w14:paraId="60EDC49B" w14:textId="331FA5C9"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Mauro Marini Ruy (1973)</w:t>
      </w:r>
      <w:r w:rsidR="001E1DA4"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w:t>
      </w:r>
      <w:r w:rsidRPr="005A17FA">
        <w:rPr>
          <w:rFonts w:ascii="Times New Roman" w:eastAsia="Times New Roman" w:hAnsi="Times New Roman" w:cs="Times New Roman"/>
          <w:i/>
          <w:iCs/>
          <w:sz w:val="24"/>
          <w:szCs w:val="24"/>
          <w:lang w:eastAsia="es-MX"/>
        </w:rPr>
        <w:t>Dialéctica de la dependencia</w:t>
      </w:r>
      <w:r w:rsidRPr="005A17FA">
        <w:rPr>
          <w:rFonts w:ascii="Times New Roman" w:eastAsia="Times New Roman" w:hAnsi="Times New Roman" w:cs="Times New Roman"/>
          <w:sz w:val="24"/>
          <w:szCs w:val="24"/>
          <w:lang w:eastAsia="es-MX"/>
        </w:rPr>
        <w:t xml:space="preserve">, </w:t>
      </w:r>
      <w:r w:rsidR="001E1DA4" w:rsidRPr="005A17FA">
        <w:rPr>
          <w:rFonts w:ascii="Times New Roman" w:eastAsia="Times New Roman" w:hAnsi="Times New Roman" w:cs="Times New Roman"/>
          <w:sz w:val="24"/>
          <w:szCs w:val="24"/>
          <w:lang w:eastAsia="es-MX"/>
        </w:rPr>
        <w:t xml:space="preserve">México, </w:t>
      </w:r>
      <w:r w:rsidRPr="005A17FA">
        <w:rPr>
          <w:rFonts w:ascii="Times New Roman" w:eastAsia="Times New Roman" w:hAnsi="Times New Roman" w:cs="Times New Roman"/>
          <w:sz w:val="24"/>
          <w:szCs w:val="24"/>
          <w:lang w:eastAsia="es-MX"/>
        </w:rPr>
        <w:t>Ediciones Era, 101 pp.</w:t>
      </w:r>
    </w:p>
    <w:p w14:paraId="1C9C5929" w14:textId="77777777" w:rsidR="00EF7BBC" w:rsidRPr="005A17FA" w:rsidRDefault="00EF7BBC" w:rsidP="005A17FA">
      <w:pPr>
        <w:spacing w:after="0" w:line="360" w:lineRule="auto"/>
        <w:ind w:left="709" w:hanging="709"/>
        <w:jc w:val="both"/>
        <w:rPr>
          <w:rFonts w:ascii="Times New Roman" w:hAnsi="Times New Roman" w:cs="Times New Roman"/>
          <w:color w:val="000000"/>
          <w:sz w:val="24"/>
          <w:szCs w:val="24"/>
        </w:rPr>
      </w:pPr>
      <w:r w:rsidRPr="005A17FA">
        <w:rPr>
          <w:rFonts w:ascii="Times New Roman" w:hAnsi="Times New Roman" w:cs="Times New Roman"/>
          <w:color w:val="000000"/>
          <w:sz w:val="24"/>
          <w:szCs w:val="24"/>
        </w:rPr>
        <w:t xml:space="preserve">Nicolás Flores, Patricia (2019), “Vicisitudes de la reinserción sociocultural. </w:t>
      </w:r>
      <w:proofErr w:type="spellStart"/>
      <w:r w:rsidRPr="005A17FA">
        <w:rPr>
          <w:rFonts w:ascii="Times New Roman" w:hAnsi="Times New Roman" w:cs="Times New Roman"/>
          <w:color w:val="000000"/>
          <w:sz w:val="24"/>
          <w:szCs w:val="24"/>
        </w:rPr>
        <w:t>Migrantes</w:t>
      </w:r>
      <w:proofErr w:type="spellEnd"/>
      <w:r w:rsidRPr="005A17FA">
        <w:rPr>
          <w:rFonts w:ascii="Times New Roman" w:hAnsi="Times New Roman" w:cs="Times New Roman"/>
          <w:color w:val="000000"/>
          <w:sz w:val="24"/>
          <w:szCs w:val="24"/>
        </w:rPr>
        <w:t xml:space="preserve"> retornados a la región mazahua del estado de México”, en Liliana Rivera Sánchez (coordinadora), </w:t>
      </w:r>
      <w:r w:rsidRPr="005A17FA">
        <w:rPr>
          <w:rFonts w:ascii="Times New Roman" w:hAnsi="Times New Roman" w:cs="Times New Roman"/>
          <w:i/>
          <w:iCs/>
          <w:color w:val="000000"/>
          <w:sz w:val="24"/>
          <w:szCs w:val="24"/>
        </w:rPr>
        <w:t>¿Volver a casa? Migrantes de retorno en América Latina. Debates, tendencias y experiencias divergentes</w:t>
      </w:r>
      <w:r w:rsidRPr="005A17FA">
        <w:rPr>
          <w:rFonts w:ascii="Times New Roman" w:hAnsi="Times New Roman" w:cs="Times New Roman"/>
          <w:color w:val="000000"/>
          <w:sz w:val="24"/>
          <w:szCs w:val="24"/>
        </w:rPr>
        <w:t>, México, El Colegio de México, pp. 313-350.</w:t>
      </w:r>
    </w:p>
    <w:p w14:paraId="35152E1F" w14:textId="2365B315"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proofErr w:type="spellStart"/>
      <w:r w:rsidRPr="005A17FA">
        <w:rPr>
          <w:rFonts w:ascii="Times New Roman" w:eastAsia="Times New Roman" w:hAnsi="Times New Roman" w:cs="Times New Roman"/>
          <w:sz w:val="24"/>
          <w:szCs w:val="24"/>
          <w:lang w:eastAsia="es-MX"/>
        </w:rPr>
        <w:lastRenderedPageBreak/>
        <w:t>Pries</w:t>
      </w:r>
      <w:proofErr w:type="spellEnd"/>
      <w:r w:rsidRPr="005A17FA">
        <w:rPr>
          <w:rFonts w:ascii="Times New Roman" w:eastAsia="Times New Roman" w:hAnsi="Times New Roman" w:cs="Times New Roman"/>
          <w:sz w:val="24"/>
          <w:szCs w:val="24"/>
          <w:lang w:eastAsia="es-MX"/>
        </w:rPr>
        <w:t xml:space="preserve">, </w:t>
      </w:r>
      <w:proofErr w:type="spellStart"/>
      <w:r w:rsidRPr="005A17FA">
        <w:rPr>
          <w:rFonts w:ascii="Times New Roman" w:eastAsia="Times New Roman" w:hAnsi="Times New Roman" w:cs="Times New Roman"/>
          <w:sz w:val="24"/>
          <w:szCs w:val="24"/>
          <w:lang w:eastAsia="es-MX"/>
        </w:rPr>
        <w:t>Ludger</w:t>
      </w:r>
      <w:proofErr w:type="spellEnd"/>
      <w:r w:rsidRPr="005A17FA">
        <w:rPr>
          <w:rFonts w:ascii="Times New Roman" w:eastAsia="Times New Roman" w:hAnsi="Times New Roman" w:cs="Times New Roman"/>
          <w:sz w:val="24"/>
          <w:szCs w:val="24"/>
          <w:lang w:eastAsia="es-MX"/>
        </w:rPr>
        <w:t xml:space="preserve"> (2000), “Una nueva cara de la migración globalizada: El surgimiento de nuevos espacios sociales transnacionales y </w:t>
      </w:r>
      <w:proofErr w:type="spellStart"/>
      <w:r w:rsidRPr="005A17FA">
        <w:rPr>
          <w:rFonts w:ascii="Times New Roman" w:eastAsia="Times New Roman" w:hAnsi="Times New Roman" w:cs="Times New Roman"/>
          <w:sz w:val="24"/>
          <w:szCs w:val="24"/>
          <w:lang w:eastAsia="es-MX"/>
        </w:rPr>
        <w:t>plurilocales</w:t>
      </w:r>
      <w:proofErr w:type="spellEnd"/>
      <w:r w:rsidRPr="005A17FA">
        <w:rPr>
          <w:rFonts w:ascii="Times New Roman" w:eastAsia="Times New Roman" w:hAnsi="Times New Roman" w:cs="Times New Roman"/>
          <w:sz w:val="24"/>
          <w:szCs w:val="24"/>
          <w:lang w:eastAsia="es-MX"/>
        </w:rPr>
        <w:t xml:space="preserve">”, en </w:t>
      </w:r>
      <w:r w:rsidRPr="005A17FA">
        <w:rPr>
          <w:rFonts w:ascii="Times New Roman" w:eastAsia="Times New Roman" w:hAnsi="Times New Roman" w:cs="Times New Roman"/>
          <w:i/>
          <w:iCs/>
          <w:sz w:val="24"/>
          <w:szCs w:val="24"/>
          <w:lang w:eastAsia="es-MX"/>
        </w:rPr>
        <w:t>Trabajo. Migraciones y mercados de trabajo</w:t>
      </w:r>
      <w:r w:rsidRPr="005A17FA">
        <w:rPr>
          <w:rFonts w:ascii="Times New Roman" w:eastAsia="Times New Roman" w:hAnsi="Times New Roman" w:cs="Times New Roman"/>
          <w:sz w:val="24"/>
          <w:szCs w:val="24"/>
          <w:lang w:eastAsia="es-MX"/>
        </w:rPr>
        <w:t xml:space="preserve">, Año 2, Núm. 3, </w:t>
      </w:r>
      <w:proofErr w:type="gramStart"/>
      <w:r w:rsidRPr="005A17FA">
        <w:rPr>
          <w:rFonts w:ascii="Times New Roman" w:eastAsia="Times New Roman" w:hAnsi="Times New Roman" w:cs="Times New Roman"/>
          <w:sz w:val="24"/>
          <w:szCs w:val="24"/>
          <w:lang w:eastAsia="es-MX"/>
        </w:rPr>
        <w:t>Enero</w:t>
      </w:r>
      <w:proofErr w:type="gramEnd"/>
      <w:r w:rsidRPr="005A17FA">
        <w:rPr>
          <w:rFonts w:ascii="Times New Roman" w:eastAsia="Times New Roman" w:hAnsi="Times New Roman" w:cs="Times New Roman"/>
          <w:sz w:val="24"/>
          <w:szCs w:val="24"/>
          <w:lang w:eastAsia="es-MX"/>
        </w:rPr>
        <w:t xml:space="preserve">-Junio del 2000, 2ª época, </w:t>
      </w:r>
      <w:r w:rsidR="001E1DA4" w:rsidRPr="005A17FA">
        <w:rPr>
          <w:rFonts w:ascii="Times New Roman" w:eastAsia="Times New Roman" w:hAnsi="Times New Roman" w:cs="Times New Roman"/>
          <w:sz w:val="24"/>
          <w:szCs w:val="24"/>
          <w:lang w:eastAsia="es-MX"/>
        </w:rPr>
        <w:t xml:space="preserve">México, </w:t>
      </w:r>
      <w:r w:rsidRPr="005A17FA">
        <w:rPr>
          <w:rFonts w:ascii="Times New Roman" w:eastAsia="Times New Roman" w:hAnsi="Times New Roman" w:cs="Times New Roman"/>
          <w:sz w:val="24"/>
          <w:szCs w:val="24"/>
          <w:lang w:eastAsia="es-MX"/>
        </w:rPr>
        <w:t>UAM, UNAM, Plaza y Valdés Editores, pp. 51-77.</w:t>
      </w:r>
    </w:p>
    <w:p w14:paraId="089725E5" w14:textId="77777777"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proofErr w:type="spellStart"/>
      <w:r w:rsidRPr="005A17FA">
        <w:rPr>
          <w:rFonts w:ascii="Times New Roman" w:eastAsia="Times New Roman" w:hAnsi="Times New Roman" w:cs="Times New Roman"/>
          <w:sz w:val="24"/>
          <w:szCs w:val="24"/>
          <w:lang w:eastAsia="es-MX"/>
        </w:rPr>
        <w:t>Pries</w:t>
      </w:r>
      <w:proofErr w:type="spellEnd"/>
      <w:r w:rsidRPr="005A17FA">
        <w:rPr>
          <w:rFonts w:ascii="Times New Roman" w:eastAsia="Times New Roman" w:hAnsi="Times New Roman" w:cs="Times New Roman"/>
          <w:sz w:val="24"/>
          <w:szCs w:val="24"/>
          <w:lang w:eastAsia="es-MX"/>
        </w:rPr>
        <w:t xml:space="preserve">, </w:t>
      </w:r>
      <w:proofErr w:type="spellStart"/>
      <w:r w:rsidRPr="005A17FA">
        <w:rPr>
          <w:rFonts w:ascii="Times New Roman" w:eastAsia="Times New Roman" w:hAnsi="Times New Roman" w:cs="Times New Roman"/>
          <w:sz w:val="24"/>
          <w:szCs w:val="24"/>
          <w:lang w:eastAsia="es-MX"/>
        </w:rPr>
        <w:t>Ludger</w:t>
      </w:r>
      <w:proofErr w:type="spellEnd"/>
      <w:r w:rsidRPr="005A17FA">
        <w:rPr>
          <w:rFonts w:ascii="Times New Roman" w:eastAsia="Times New Roman" w:hAnsi="Times New Roman" w:cs="Times New Roman"/>
          <w:sz w:val="24"/>
          <w:szCs w:val="24"/>
          <w:lang w:eastAsia="es-MX"/>
        </w:rPr>
        <w:t xml:space="preserve"> (2002), “La migración transnacional y la perforación de los contenedores de Estados-nación” en </w:t>
      </w:r>
      <w:r w:rsidRPr="005A17FA">
        <w:rPr>
          <w:rFonts w:ascii="Times New Roman" w:eastAsia="Times New Roman" w:hAnsi="Times New Roman" w:cs="Times New Roman"/>
          <w:i/>
          <w:iCs/>
          <w:sz w:val="24"/>
          <w:szCs w:val="24"/>
          <w:lang w:eastAsia="es-MX"/>
        </w:rPr>
        <w:t>Estudios Demográficos y Urbanos</w:t>
      </w:r>
      <w:r w:rsidRPr="005A17FA">
        <w:rPr>
          <w:rFonts w:ascii="Times New Roman" w:eastAsia="Times New Roman" w:hAnsi="Times New Roman" w:cs="Times New Roman"/>
          <w:sz w:val="24"/>
          <w:szCs w:val="24"/>
          <w:lang w:eastAsia="es-MX"/>
        </w:rPr>
        <w:t>, el Colegio de México, pp. 571-597.</w:t>
      </w:r>
    </w:p>
    <w:p w14:paraId="2995725F" w14:textId="77777777" w:rsidR="00EF7BBC" w:rsidRPr="005A17FA" w:rsidRDefault="00EF7BBC" w:rsidP="005A17FA">
      <w:pPr>
        <w:spacing w:after="0" w:line="360" w:lineRule="auto"/>
        <w:ind w:left="709" w:hanging="709"/>
        <w:jc w:val="both"/>
        <w:rPr>
          <w:rFonts w:ascii="Times New Roman" w:hAnsi="Times New Roman" w:cs="Times New Roman"/>
          <w:color w:val="000000"/>
          <w:sz w:val="24"/>
          <w:szCs w:val="24"/>
        </w:rPr>
      </w:pPr>
      <w:r w:rsidRPr="005A17FA">
        <w:rPr>
          <w:rFonts w:ascii="Times New Roman" w:hAnsi="Times New Roman" w:cs="Times New Roman"/>
          <w:color w:val="000000"/>
          <w:sz w:val="24"/>
          <w:szCs w:val="24"/>
        </w:rPr>
        <w:t xml:space="preserve">Rivera Sánchez, Liliana (2019), “Del análisis, las experiencias y las modalidades de </w:t>
      </w:r>
      <w:r w:rsidRPr="005A17FA">
        <w:rPr>
          <w:rFonts w:ascii="Times New Roman" w:hAnsi="Times New Roman" w:cs="Times New Roman"/>
          <w:i/>
          <w:iCs/>
          <w:color w:val="000000"/>
          <w:sz w:val="24"/>
          <w:szCs w:val="24"/>
        </w:rPr>
        <w:t>volver a casa</w:t>
      </w:r>
      <w:r w:rsidRPr="005A17FA">
        <w:rPr>
          <w:rFonts w:ascii="Times New Roman" w:hAnsi="Times New Roman" w:cs="Times New Roman"/>
          <w:color w:val="000000"/>
          <w:sz w:val="24"/>
          <w:szCs w:val="24"/>
        </w:rPr>
        <w:t xml:space="preserve"> en América Latina. Una introducción a los estudios sobre retorno migratorio y deportaciones”, en Liliana Rivera Sánchez (coordinadora), </w:t>
      </w:r>
      <w:r w:rsidRPr="005A17FA">
        <w:rPr>
          <w:rFonts w:ascii="Times New Roman" w:hAnsi="Times New Roman" w:cs="Times New Roman"/>
          <w:i/>
          <w:iCs/>
          <w:color w:val="000000"/>
          <w:sz w:val="24"/>
          <w:szCs w:val="24"/>
        </w:rPr>
        <w:t>¿Volver a casa? Migrantes de retorno en América Latina. Debates, tendencias y experiencias divergentes</w:t>
      </w:r>
      <w:r w:rsidRPr="005A17FA">
        <w:rPr>
          <w:rFonts w:ascii="Times New Roman" w:hAnsi="Times New Roman" w:cs="Times New Roman"/>
          <w:color w:val="000000"/>
          <w:sz w:val="24"/>
          <w:szCs w:val="24"/>
        </w:rPr>
        <w:t>, México, El Colegio de México, pp. 13-63.</w:t>
      </w:r>
    </w:p>
    <w:p w14:paraId="6551787B" w14:textId="4DB4C8E7"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proofErr w:type="spellStart"/>
      <w:r w:rsidRPr="005A17FA">
        <w:rPr>
          <w:rFonts w:ascii="Times New Roman" w:eastAsia="Times New Roman" w:hAnsi="Times New Roman" w:cs="Times New Roman"/>
          <w:sz w:val="24"/>
          <w:szCs w:val="24"/>
          <w:lang w:eastAsia="es-MX"/>
        </w:rPr>
        <w:t>Sassen</w:t>
      </w:r>
      <w:proofErr w:type="spellEnd"/>
      <w:r w:rsidRPr="005A17FA">
        <w:rPr>
          <w:rFonts w:ascii="Times New Roman" w:eastAsia="Times New Roman" w:hAnsi="Times New Roman" w:cs="Times New Roman"/>
          <w:sz w:val="24"/>
          <w:szCs w:val="24"/>
          <w:lang w:eastAsia="es-MX"/>
        </w:rPr>
        <w:t xml:space="preserve">, Saskia (2007), </w:t>
      </w:r>
      <w:r w:rsidRPr="005A17FA">
        <w:rPr>
          <w:rFonts w:ascii="Times New Roman" w:eastAsia="Times New Roman" w:hAnsi="Times New Roman" w:cs="Times New Roman"/>
          <w:i/>
          <w:iCs/>
          <w:sz w:val="24"/>
          <w:szCs w:val="24"/>
          <w:lang w:eastAsia="es-MX"/>
        </w:rPr>
        <w:t>Una sociología de la globalización</w:t>
      </w:r>
      <w:r w:rsidRPr="005A17FA">
        <w:rPr>
          <w:rFonts w:ascii="Times New Roman" w:eastAsia="Times New Roman" w:hAnsi="Times New Roman" w:cs="Times New Roman"/>
          <w:sz w:val="24"/>
          <w:szCs w:val="24"/>
          <w:lang w:eastAsia="es-MX"/>
        </w:rPr>
        <w:t xml:space="preserve">, </w:t>
      </w:r>
      <w:r w:rsidR="00CA5C77" w:rsidRPr="005A17FA">
        <w:rPr>
          <w:rFonts w:ascii="Times New Roman" w:eastAsia="Times New Roman" w:hAnsi="Times New Roman" w:cs="Times New Roman"/>
          <w:sz w:val="24"/>
          <w:szCs w:val="24"/>
          <w:lang w:eastAsia="es-MX"/>
        </w:rPr>
        <w:t xml:space="preserve">Argentina, </w:t>
      </w:r>
      <w:r w:rsidRPr="005A17FA">
        <w:rPr>
          <w:rFonts w:ascii="Times New Roman" w:eastAsia="Times New Roman" w:hAnsi="Times New Roman" w:cs="Times New Roman"/>
          <w:sz w:val="24"/>
          <w:szCs w:val="24"/>
          <w:lang w:eastAsia="es-MX"/>
        </w:rPr>
        <w:t>Katz.</w:t>
      </w:r>
    </w:p>
    <w:p w14:paraId="0187FBF3" w14:textId="71B72B29"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Schutz, A. (1972)</w:t>
      </w:r>
      <w:r w:rsidR="00CA5C77"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w:t>
      </w:r>
      <w:r w:rsidRPr="005A17FA">
        <w:rPr>
          <w:rFonts w:ascii="Times New Roman" w:eastAsia="Times New Roman" w:hAnsi="Times New Roman" w:cs="Times New Roman"/>
          <w:i/>
          <w:iCs/>
          <w:sz w:val="24"/>
          <w:szCs w:val="24"/>
          <w:lang w:eastAsia="es-MX"/>
        </w:rPr>
        <w:t>Fenomenología del mundo social. Introducción a la sociología comprensiva</w:t>
      </w:r>
      <w:r w:rsidRPr="005A17FA">
        <w:rPr>
          <w:rFonts w:ascii="Times New Roman" w:eastAsia="Times New Roman" w:hAnsi="Times New Roman" w:cs="Times New Roman"/>
          <w:sz w:val="24"/>
          <w:szCs w:val="24"/>
          <w:lang w:eastAsia="es-MX"/>
        </w:rPr>
        <w:t>. Buenos Aires</w:t>
      </w:r>
      <w:r w:rsidR="00CA5C77"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Editorial </w:t>
      </w:r>
      <w:proofErr w:type="spellStart"/>
      <w:r w:rsidRPr="005A17FA">
        <w:rPr>
          <w:rFonts w:ascii="Times New Roman" w:eastAsia="Times New Roman" w:hAnsi="Times New Roman" w:cs="Times New Roman"/>
          <w:sz w:val="24"/>
          <w:szCs w:val="24"/>
          <w:lang w:eastAsia="es-MX"/>
        </w:rPr>
        <w:t>Paidos</w:t>
      </w:r>
      <w:proofErr w:type="spellEnd"/>
      <w:r w:rsidRPr="005A17FA">
        <w:rPr>
          <w:rFonts w:ascii="Times New Roman" w:eastAsia="Times New Roman" w:hAnsi="Times New Roman" w:cs="Times New Roman"/>
          <w:sz w:val="24"/>
          <w:szCs w:val="24"/>
          <w:lang w:eastAsia="es-MX"/>
        </w:rPr>
        <w:t>.</w:t>
      </w:r>
    </w:p>
    <w:p w14:paraId="58D95704" w14:textId="59C75813"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r w:rsidRPr="005A17FA">
        <w:rPr>
          <w:rFonts w:ascii="Times New Roman" w:eastAsia="Times New Roman" w:hAnsi="Times New Roman" w:cs="Times New Roman"/>
          <w:sz w:val="24"/>
          <w:szCs w:val="24"/>
          <w:lang w:eastAsia="es-MX"/>
        </w:rPr>
        <w:t>Schutz, A. (1974)</w:t>
      </w:r>
      <w:r w:rsidR="00CA5C77"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w:t>
      </w:r>
      <w:r w:rsidRPr="005A17FA">
        <w:rPr>
          <w:rFonts w:ascii="Times New Roman" w:eastAsia="Times New Roman" w:hAnsi="Times New Roman" w:cs="Times New Roman"/>
          <w:i/>
          <w:iCs/>
          <w:sz w:val="24"/>
          <w:szCs w:val="24"/>
          <w:lang w:eastAsia="es-MX"/>
        </w:rPr>
        <w:t>El problema de la realidad social</w:t>
      </w:r>
      <w:r w:rsidR="0078431B" w:rsidRPr="005A17FA">
        <w:rPr>
          <w:rFonts w:ascii="Times New Roman" w:eastAsia="Times New Roman" w:hAnsi="Times New Roman" w:cs="Times New Roman"/>
          <w:i/>
          <w:iCs/>
          <w:sz w:val="24"/>
          <w:szCs w:val="24"/>
          <w:lang w:eastAsia="es-MX"/>
        </w:rPr>
        <w:t>.</w:t>
      </w:r>
      <w:r w:rsidRPr="005A17FA">
        <w:rPr>
          <w:rFonts w:ascii="Times New Roman" w:eastAsia="Times New Roman" w:hAnsi="Times New Roman" w:cs="Times New Roman"/>
          <w:i/>
          <w:iCs/>
          <w:sz w:val="24"/>
          <w:szCs w:val="24"/>
          <w:lang w:eastAsia="es-MX"/>
        </w:rPr>
        <w:t xml:space="preserve"> Escritos I</w:t>
      </w:r>
      <w:r w:rsidR="0078431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Buenos Aires</w:t>
      </w:r>
      <w:r w:rsidR="0078431B" w:rsidRPr="005A17FA">
        <w:rPr>
          <w:rFonts w:ascii="Times New Roman" w:eastAsia="Times New Roman" w:hAnsi="Times New Roman" w:cs="Times New Roman"/>
          <w:sz w:val="24"/>
          <w:szCs w:val="24"/>
          <w:lang w:eastAsia="es-MX"/>
        </w:rPr>
        <w:t>,</w:t>
      </w:r>
      <w:r w:rsidRPr="005A17FA">
        <w:rPr>
          <w:rFonts w:ascii="Times New Roman" w:eastAsia="Times New Roman" w:hAnsi="Times New Roman" w:cs="Times New Roman"/>
          <w:sz w:val="24"/>
          <w:szCs w:val="24"/>
          <w:lang w:eastAsia="es-MX"/>
        </w:rPr>
        <w:t xml:space="preserve"> Amorrortu Editores.</w:t>
      </w:r>
    </w:p>
    <w:p w14:paraId="24EC2812" w14:textId="769B0E98"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val="en-CA" w:eastAsia="es-MX"/>
        </w:rPr>
      </w:pPr>
      <w:r w:rsidRPr="005A17FA">
        <w:rPr>
          <w:rFonts w:ascii="Times New Roman" w:eastAsia="Times New Roman" w:hAnsi="Times New Roman" w:cs="Times New Roman"/>
          <w:sz w:val="24"/>
          <w:szCs w:val="24"/>
          <w:lang w:val="en-CA" w:eastAsia="es-MX"/>
        </w:rPr>
        <w:t xml:space="preserve">Thomas, William Isaac y Florian </w:t>
      </w:r>
      <w:proofErr w:type="spellStart"/>
      <w:r w:rsidRPr="005A17FA">
        <w:rPr>
          <w:rFonts w:ascii="Times New Roman" w:eastAsia="Times New Roman" w:hAnsi="Times New Roman" w:cs="Times New Roman"/>
          <w:sz w:val="24"/>
          <w:szCs w:val="24"/>
          <w:lang w:val="en-CA" w:eastAsia="es-MX"/>
        </w:rPr>
        <w:t>Znaniecki</w:t>
      </w:r>
      <w:proofErr w:type="spellEnd"/>
      <w:r w:rsidRPr="005A17FA">
        <w:rPr>
          <w:rFonts w:ascii="Times New Roman" w:eastAsia="Times New Roman" w:hAnsi="Times New Roman" w:cs="Times New Roman"/>
          <w:sz w:val="24"/>
          <w:szCs w:val="24"/>
          <w:lang w:val="en-CA" w:eastAsia="es-MX"/>
        </w:rPr>
        <w:t xml:space="preserve"> (1958), </w:t>
      </w:r>
      <w:r w:rsidRPr="005A17FA">
        <w:rPr>
          <w:rFonts w:ascii="Times New Roman" w:eastAsia="Times New Roman" w:hAnsi="Times New Roman" w:cs="Times New Roman"/>
          <w:i/>
          <w:iCs/>
          <w:sz w:val="24"/>
          <w:szCs w:val="24"/>
          <w:lang w:val="en-CA" w:eastAsia="es-MX"/>
        </w:rPr>
        <w:t>The Polish Peasant in Europe and America</w:t>
      </w:r>
      <w:r w:rsidRPr="005A17FA">
        <w:rPr>
          <w:rFonts w:ascii="Times New Roman" w:eastAsia="Times New Roman" w:hAnsi="Times New Roman" w:cs="Times New Roman"/>
          <w:sz w:val="24"/>
          <w:szCs w:val="24"/>
          <w:lang w:val="en-CA" w:eastAsia="es-MX"/>
        </w:rPr>
        <w:t xml:space="preserve">, </w:t>
      </w:r>
      <w:r w:rsidR="0078431B" w:rsidRPr="005A17FA">
        <w:rPr>
          <w:rFonts w:ascii="Times New Roman" w:eastAsia="Times New Roman" w:hAnsi="Times New Roman" w:cs="Times New Roman"/>
          <w:sz w:val="24"/>
          <w:szCs w:val="24"/>
          <w:lang w:val="en-CA" w:eastAsia="es-MX"/>
        </w:rPr>
        <w:t xml:space="preserve">New York, </w:t>
      </w:r>
      <w:r w:rsidRPr="005A17FA">
        <w:rPr>
          <w:rFonts w:ascii="Times New Roman" w:eastAsia="Times New Roman" w:hAnsi="Times New Roman" w:cs="Times New Roman"/>
          <w:sz w:val="24"/>
          <w:szCs w:val="24"/>
          <w:lang w:val="en-CA" w:eastAsia="es-MX"/>
        </w:rPr>
        <w:t>Dover Publication</w:t>
      </w:r>
      <w:r w:rsidR="0078431B" w:rsidRPr="005A17FA">
        <w:rPr>
          <w:rFonts w:ascii="Times New Roman" w:eastAsia="Times New Roman" w:hAnsi="Times New Roman" w:cs="Times New Roman"/>
          <w:sz w:val="24"/>
          <w:szCs w:val="24"/>
          <w:lang w:val="en-CA" w:eastAsia="es-MX"/>
        </w:rPr>
        <w:t>s</w:t>
      </w:r>
      <w:r w:rsidRPr="005A17FA">
        <w:rPr>
          <w:rFonts w:ascii="Times New Roman" w:eastAsia="Times New Roman" w:hAnsi="Times New Roman" w:cs="Times New Roman"/>
          <w:sz w:val="24"/>
          <w:szCs w:val="24"/>
          <w:lang w:val="en-CA" w:eastAsia="es-MX"/>
        </w:rPr>
        <w:t>.</w:t>
      </w:r>
    </w:p>
    <w:p w14:paraId="12CA03E6" w14:textId="77777777" w:rsidR="00EF7BBC" w:rsidRPr="005A17FA" w:rsidRDefault="00EF7BBC" w:rsidP="005A17FA">
      <w:pPr>
        <w:spacing w:after="0" w:line="360" w:lineRule="auto"/>
        <w:ind w:left="709" w:hanging="709"/>
        <w:jc w:val="both"/>
        <w:rPr>
          <w:rFonts w:ascii="Times New Roman" w:eastAsia="Times New Roman" w:hAnsi="Times New Roman" w:cs="Times New Roman"/>
          <w:sz w:val="24"/>
          <w:szCs w:val="24"/>
          <w:lang w:eastAsia="es-MX"/>
        </w:rPr>
      </w:pPr>
      <w:proofErr w:type="spellStart"/>
      <w:r w:rsidRPr="005A17FA">
        <w:rPr>
          <w:rFonts w:ascii="Times New Roman" w:eastAsia="Times New Roman" w:hAnsi="Times New Roman" w:cs="Times New Roman"/>
          <w:sz w:val="24"/>
          <w:szCs w:val="24"/>
          <w:lang w:val="en-CA" w:eastAsia="es-MX"/>
        </w:rPr>
        <w:t>Wimmer</w:t>
      </w:r>
      <w:proofErr w:type="spellEnd"/>
      <w:r w:rsidRPr="005A17FA">
        <w:rPr>
          <w:rFonts w:ascii="Times New Roman" w:eastAsia="Times New Roman" w:hAnsi="Times New Roman" w:cs="Times New Roman"/>
          <w:sz w:val="24"/>
          <w:szCs w:val="24"/>
          <w:lang w:val="en-CA" w:eastAsia="es-MX"/>
        </w:rPr>
        <w:t xml:space="preserve">, Andreas y Nina Glick Schiller (2004), “Methodological Nationalism, the Social Sciences, and the Study of Migration: An Essay in Historical Epistemology”, </w:t>
      </w:r>
      <w:r w:rsidRPr="005A17FA">
        <w:rPr>
          <w:rFonts w:ascii="Times New Roman" w:eastAsia="Times New Roman" w:hAnsi="Times New Roman" w:cs="Times New Roman"/>
          <w:i/>
          <w:iCs/>
          <w:sz w:val="24"/>
          <w:szCs w:val="24"/>
          <w:lang w:val="en-CA" w:eastAsia="es-MX"/>
        </w:rPr>
        <w:t>The International Migration Review</w:t>
      </w:r>
      <w:r w:rsidRPr="005A17FA">
        <w:rPr>
          <w:rFonts w:ascii="Times New Roman" w:eastAsia="Times New Roman" w:hAnsi="Times New Roman" w:cs="Times New Roman"/>
          <w:sz w:val="24"/>
          <w:szCs w:val="24"/>
          <w:lang w:val="en-CA" w:eastAsia="es-MX"/>
        </w:rPr>
        <w:t xml:space="preserve">; Fall 2004; 38, 3; Academic Research Library,. </w:t>
      </w:r>
      <w:r w:rsidRPr="005A17FA">
        <w:rPr>
          <w:rFonts w:ascii="Times New Roman" w:eastAsia="Times New Roman" w:hAnsi="Times New Roman" w:cs="Times New Roman"/>
          <w:sz w:val="24"/>
          <w:szCs w:val="24"/>
          <w:lang w:eastAsia="es-MX"/>
        </w:rPr>
        <w:t>576-609.</w:t>
      </w:r>
    </w:p>
    <w:p w14:paraId="6B043B5C" w14:textId="77777777" w:rsidR="00EF7BBC" w:rsidRPr="00EF7BBC" w:rsidRDefault="00EF7BBC" w:rsidP="005A17FA">
      <w:pPr>
        <w:spacing w:after="0" w:line="360" w:lineRule="auto"/>
        <w:ind w:left="709" w:hanging="709"/>
        <w:jc w:val="both"/>
        <w:rPr>
          <w:rFonts w:ascii="Times New Roman" w:hAnsi="Times New Roman" w:cs="Times New Roman"/>
          <w:color w:val="000000"/>
        </w:rPr>
      </w:pPr>
      <w:proofErr w:type="spellStart"/>
      <w:r w:rsidRPr="005A17FA">
        <w:rPr>
          <w:rFonts w:ascii="Times New Roman" w:hAnsi="Times New Roman" w:cs="Times New Roman"/>
          <w:color w:val="000000"/>
          <w:sz w:val="24"/>
          <w:szCs w:val="24"/>
        </w:rPr>
        <w:t>Woo</w:t>
      </w:r>
      <w:proofErr w:type="spellEnd"/>
      <w:r w:rsidRPr="005A17FA">
        <w:rPr>
          <w:rFonts w:ascii="Times New Roman" w:hAnsi="Times New Roman" w:cs="Times New Roman"/>
          <w:color w:val="000000"/>
          <w:sz w:val="24"/>
          <w:szCs w:val="24"/>
        </w:rPr>
        <w:t xml:space="preserve"> Morales, Ofelia (2019), “Experiencias de mujeres migrantes retornadas de Estados Unidos a la zona metropolitana de Guadalajara”, en Liliana Rivera Sánchez (coordinadora), </w:t>
      </w:r>
      <w:r w:rsidRPr="005A17FA">
        <w:rPr>
          <w:rFonts w:ascii="Times New Roman" w:hAnsi="Times New Roman" w:cs="Times New Roman"/>
          <w:i/>
          <w:iCs/>
          <w:color w:val="000000"/>
          <w:sz w:val="24"/>
          <w:szCs w:val="24"/>
        </w:rPr>
        <w:t>¿Volver a casa? Migrantes de retorno en América Latina. Debates, tendencias y experiencias divergentes</w:t>
      </w:r>
      <w:r w:rsidRPr="005A17FA">
        <w:rPr>
          <w:rFonts w:ascii="Times New Roman" w:hAnsi="Times New Roman" w:cs="Times New Roman"/>
          <w:color w:val="000000"/>
          <w:sz w:val="24"/>
          <w:szCs w:val="24"/>
        </w:rPr>
        <w:t>, México, El Colegio de México, pp. 67-126.</w:t>
      </w:r>
    </w:p>
    <w:sectPr w:rsidR="00EF7BBC" w:rsidRPr="00EF7BBC" w:rsidSect="005A17FA">
      <w:headerReference w:type="default" r:id="rId7"/>
      <w:footerReference w:type="default" r:id="rId8"/>
      <w:pgSz w:w="12240" w:h="15840" w:code="1"/>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A9E45" w14:textId="77777777" w:rsidR="009C4196" w:rsidRDefault="009C4196" w:rsidP="00264946">
      <w:pPr>
        <w:spacing w:after="0" w:line="240" w:lineRule="auto"/>
      </w:pPr>
      <w:r>
        <w:separator/>
      </w:r>
    </w:p>
  </w:endnote>
  <w:endnote w:type="continuationSeparator" w:id="0">
    <w:p w14:paraId="01E50894" w14:textId="77777777" w:rsidR="009C4196" w:rsidRDefault="009C4196" w:rsidP="00264946">
      <w:pPr>
        <w:spacing w:after="0" w:line="240" w:lineRule="auto"/>
      </w:pPr>
      <w:r>
        <w:continuationSeparator/>
      </w:r>
    </w:p>
  </w:endnote>
  <w:endnote w:type="continuationNotice" w:id="1">
    <w:p w14:paraId="2D36FFFB" w14:textId="77777777" w:rsidR="009C4196" w:rsidRDefault="009C4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F83F" w14:textId="3025FE7F" w:rsidR="00A92936" w:rsidRDefault="005A17FA">
    <w:pPr>
      <w:pStyle w:val="Piedepgina"/>
      <w:jc w:val="center"/>
    </w:pPr>
    <w:r w:rsidRPr="00587BAA">
      <w:rPr>
        <w:rFonts w:cstheme="minorHAnsi"/>
        <w:b/>
        <w:bCs/>
        <w:szCs w:val="18"/>
      </w:rPr>
      <w:t xml:space="preserve">Vol. </w:t>
    </w:r>
    <w:proofErr w:type="gramStart"/>
    <w:r w:rsidRPr="00587BAA">
      <w:rPr>
        <w:rFonts w:cstheme="minorHAnsi"/>
        <w:b/>
        <w:bCs/>
        <w:szCs w:val="18"/>
      </w:rPr>
      <w:t>7  Núm.</w:t>
    </w:r>
    <w:proofErr w:type="gramEnd"/>
    <w:r w:rsidRPr="00587BAA">
      <w:rPr>
        <w:rFonts w:cstheme="minorHAnsi"/>
        <w:b/>
        <w:bCs/>
        <w:szCs w:val="18"/>
      </w:rPr>
      <w:t xml:space="preserve"> 14                   Julio-Diciembre 2020                       PAG</w:t>
    </w:r>
  </w:p>
  <w:p w14:paraId="521572C8" w14:textId="77777777" w:rsidR="00A92936" w:rsidRDefault="00A92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A087C" w14:textId="77777777" w:rsidR="009C4196" w:rsidRDefault="009C4196" w:rsidP="00264946">
      <w:pPr>
        <w:spacing w:after="0" w:line="240" w:lineRule="auto"/>
      </w:pPr>
      <w:r>
        <w:separator/>
      </w:r>
    </w:p>
  </w:footnote>
  <w:footnote w:type="continuationSeparator" w:id="0">
    <w:p w14:paraId="3A82B1BD" w14:textId="77777777" w:rsidR="009C4196" w:rsidRDefault="009C4196" w:rsidP="00264946">
      <w:pPr>
        <w:spacing w:after="0" w:line="240" w:lineRule="auto"/>
      </w:pPr>
      <w:r>
        <w:continuationSeparator/>
      </w:r>
    </w:p>
  </w:footnote>
  <w:footnote w:type="continuationNotice" w:id="1">
    <w:p w14:paraId="0E889BF9" w14:textId="77777777" w:rsidR="009C4196" w:rsidRDefault="009C41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48A89" w14:textId="01E9AD6F" w:rsidR="005A17FA" w:rsidRDefault="005A17FA" w:rsidP="005A17FA">
    <w:pPr>
      <w:pStyle w:val="Encabezado"/>
      <w:jc w:val="center"/>
    </w:pPr>
    <w:r>
      <w:rPr>
        <w:noProof/>
        <w:lang w:eastAsia="es-MX"/>
      </w:rPr>
      <w:drawing>
        <wp:inline distT="0" distB="0" distL="0" distR="0" wp14:anchorId="7CAF1A44" wp14:editId="75507186">
          <wp:extent cx="5612130" cy="608330"/>
          <wp:effectExtent l="0" t="0" r="762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AC"/>
    <w:rsid w:val="0001453D"/>
    <w:rsid w:val="00021631"/>
    <w:rsid w:val="00037D03"/>
    <w:rsid w:val="00045EC7"/>
    <w:rsid w:val="00046F99"/>
    <w:rsid w:val="00047D8C"/>
    <w:rsid w:val="0005303F"/>
    <w:rsid w:val="00070E93"/>
    <w:rsid w:val="00072365"/>
    <w:rsid w:val="00076228"/>
    <w:rsid w:val="000948C3"/>
    <w:rsid w:val="000B3B4D"/>
    <w:rsid w:val="000C3F09"/>
    <w:rsid w:val="000C682A"/>
    <w:rsid w:val="000E2D7B"/>
    <w:rsid w:val="000F303A"/>
    <w:rsid w:val="001002F0"/>
    <w:rsid w:val="00123F20"/>
    <w:rsid w:val="001313EA"/>
    <w:rsid w:val="001362F4"/>
    <w:rsid w:val="0014062B"/>
    <w:rsid w:val="00156600"/>
    <w:rsid w:val="0016439B"/>
    <w:rsid w:val="00170569"/>
    <w:rsid w:val="001913E8"/>
    <w:rsid w:val="00195EDA"/>
    <w:rsid w:val="001A2BA9"/>
    <w:rsid w:val="001C09F7"/>
    <w:rsid w:val="001C6B9C"/>
    <w:rsid w:val="001E0095"/>
    <w:rsid w:val="001E1DA4"/>
    <w:rsid w:val="001E2E02"/>
    <w:rsid w:val="001F1714"/>
    <w:rsid w:val="00205C4E"/>
    <w:rsid w:val="00214D96"/>
    <w:rsid w:val="002174A2"/>
    <w:rsid w:val="002255E0"/>
    <w:rsid w:val="00236621"/>
    <w:rsid w:val="00247E40"/>
    <w:rsid w:val="002554ED"/>
    <w:rsid w:val="00256328"/>
    <w:rsid w:val="00256F63"/>
    <w:rsid w:val="00261978"/>
    <w:rsid w:val="00264946"/>
    <w:rsid w:val="00271795"/>
    <w:rsid w:val="00276634"/>
    <w:rsid w:val="002912BB"/>
    <w:rsid w:val="00292721"/>
    <w:rsid w:val="00292793"/>
    <w:rsid w:val="002A1A54"/>
    <w:rsid w:val="002A2314"/>
    <w:rsid w:val="002B1617"/>
    <w:rsid w:val="002D13E0"/>
    <w:rsid w:val="002E1A5B"/>
    <w:rsid w:val="002E4549"/>
    <w:rsid w:val="002F16F3"/>
    <w:rsid w:val="002F4BC2"/>
    <w:rsid w:val="00303D79"/>
    <w:rsid w:val="003066DB"/>
    <w:rsid w:val="00312D99"/>
    <w:rsid w:val="00314D80"/>
    <w:rsid w:val="00321B5D"/>
    <w:rsid w:val="00331C3B"/>
    <w:rsid w:val="00341985"/>
    <w:rsid w:val="003424F2"/>
    <w:rsid w:val="003426B4"/>
    <w:rsid w:val="0034785B"/>
    <w:rsid w:val="00353F65"/>
    <w:rsid w:val="00360D8A"/>
    <w:rsid w:val="0036415F"/>
    <w:rsid w:val="0036612F"/>
    <w:rsid w:val="00381CF1"/>
    <w:rsid w:val="003876CF"/>
    <w:rsid w:val="003A00D6"/>
    <w:rsid w:val="003A1ECB"/>
    <w:rsid w:val="003D1B40"/>
    <w:rsid w:val="003D48AF"/>
    <w:rsid w:val="003D4D04"/>
    <w:rsid w:val="003E17D9"/>
    <w:rsid w:val="003E364B"/>
    <w:rsid w:val="003F1B0C"/>
    <w:rsid w:val="0040599D"/>
    <w:rsid w:val="00414059"/>
    <w:rsid w:val="004140FD"/>
    <w:rsid w:val="004166DB"/>
    <w:rsid w:val="00426B92"/>
    <w:rsid w:val="00431FA9"/>
    <w:rsid w:val="004333AC"/>
    <w:rsid w:val="00462D0C"/>
    <w:rsid w:val="004648AE"/>
    <w:rsid w:val="004676CE"/>
    <w:rsid w:val="00480032"/>
    <w:rsid w:val="00483A39"/>
    <w:rsid w:val="00486AB7"/>
    <w:rsid w:val="00491388"/>
    <w:rsid w:val="00492624"/>
    <w:rsid w:val="00493F27"/>
    <w:rsid w:val="00496F75"/>
    <w:rsid w:val="004A0716"/>
    <w:rsid w:val="004A07DC"/>
    <w:rsid w:val="004A5B32"/>
    <w:rsid w:val="004B6D21"/>
    <w:rsid w:val="004E248B"/>
    <w:rsid w:val="004E48A1"/>
    <w:rsid w:val="004E4BA1"/>
    <w:rsid w:val="004F577E"/>
    <w:rsid w:val="00500467"/>
    <w:rsid w:val="00510957"/>
    <w:rsid w:val="00517E20"/>
    <w:rsid w:val="0052071F"/>
    <w:rsid w:val="00520BB7"/>
    <w:rsid w:val="00527872"/>
    <w:rsid w:val="0053649E"/>
    <w:rsid w:val="00542582"/>
    <w:rsid w:val="0054592A"/>
    <w:rsid w:val="00545CCD"/>
    <w:rsid w:val="005613AC"/>
    <w:rsid w:val="00570F28"/>
    <w:rsid w:val="00574680"/>
    <w:rsid w:val="00585F55"/>
    <w:rsid w:val="0059598B"/>
    <w:rsid w:val="005A17FA"/>
    <w:rsid w:val="005B3113"/>
    <w:rsid w:val="005C7B68"/>
    <w:rsid w:val="005E3D27"/>
    <w:rsid w:val="005E57E9"/>
    <w:rsid w:val="005E6B39"/>
    <w:rsid w:val="00613151"/>
    <w:rsid w:val="006256E5"/>
    <w:rsid w:val="00632FEC"/>
    <w:rsid w:val="006346BA"/>
    <w:rsid w:val="00637C9F"/>
    <w:rsid w:val="0064130C"/>
    <w:rsid w:val="00651FFC"/>
    <w:rsid w:val="0065260B"/>
    <w:rsid w:val="00653C21"/>
    <w:rsid w:val="006571D4"/>
    <w:rsid w:val="00660E31"/>
    <w:rsid w:val="00662076"/>
    <w:rsid w:val="00671507"/>
    <w:rsid w:val="00682F99"/>
    <w:rsid w:val="00685761"/>
    <w:rsid w:val="0069284D"/>
    <w:rsid w:val="00696EBB"/>
    <w:rsid w:val="006A6E36"/>
    <w:rsid w:val="006A7AF5"/>
    <w:rsid w:val="006C2EF6"/>
    <w:rsid w:val="006E482A"/>
    <w:rsid w:val="0070165F"/>
    <w:rsid w:val="0072243E"/>
    <w:rsid w:val="007228AD"/>
    <w:rsid w:val="0074518F"/>
    <w:rsid w:val="00746C04"/>
    <w:rsid w:val="00764B94"/>
    <w:rsid w:val="0077040F"/>
    <w:rsid w:val="00772186"/>
    <w:rsid w:val="007732B2"/>
    <w:rsid w:val="0077674C"/>
    <w:rsid w:val="0078431B"/>
    <w:rsid w:val="0079286B"/>
    <w:rsid w:val="007A4D37"/>
    <w:rsid w:val="007A54C7"/>
    <w:rsid w:val="007B702E"/>
    <w:rsid w:val="007B72F4"/>
    <w:rsid w:val="007C0185"/>
    <w:rsid w:val="007C12C3"/>
    <w:rsid w:val="007E5625"/>
    <w:rsid w:val="00804EB2"/>
    <w:rsid w:val="008061EA"/>
    <w:rsid w:val="00806EA6"/>
    <w:rsid w:val="00814658"/>
    <w:rsid w:val="00815312"/>
    <w:rsid w:val="00817993"/>
    <w:rsid w:val="00824345"/>
    <w:rsid w:val="008343B2"/>
    <w:rsid w:val="00834CEC"/>
    <w:rsid w:val="0084413A"/>
    <w:rsid w:val="008773C6"/>
    <w:rsid w:val="0088548A"/>
    <w:rsid w:val="00891DA1"/>
    <w:rsid w:val="008A42C3"/>
    <w:rsid w:val="008A5F70"/>
    <w:rsid w:val="008C4626"/>
    <w:rsid w:val="008D138E"/>
    <w:rsid w:val="008D1627"/>
    <w:rsid w:val="008E2357"/>
    <w:rsid w:val="0090161B"/>
    <w:rsid w:val="00902BC4"/>
    <w:rsid w:val="00907BC4"/>
    <w:rsid w:val="00915DDB"/>
    <w:rsid w:val="00925A53"/>
    <w:rsid w:val="0093079C"/>
    <w:rsid w:val="0094591E"/>
    <w:rsid w:val="00946815"/>
    <w:rsid w:val="009527AC"/>
    <w:rsid w:val="009742F6"/>
    <w:rsid w:val="009825B3"/>
    <w:rsid w:val="00987D73"/>
    <w:rsid w:val="0099493E"/>
    <w:rsid w:val="009A1736"/>
    <w:rsid w:val="009A7F2B"/>
    <w:rsid w:val="009B121C"/>
    <w:rsid w:val="009C0F66"/>
    <w:rsid w:val="009C2AD7"/>
    <w:rsid w:val="009C4196"/>
    <w:rsid w:val="009D2FF8"/>
    <w:rsid w:val="009D7FE5"/>
    <w:rsid w:val="009E3AF7"/>
    <w:rsid w:val="009E76BB"/>
    <w:rsid w:val="009F1377"/>
    <w:rsid w:val="00A04EAE"/>
    <w:rsid w:val="00A071E3"/>
    <w:rsid w:val="00A125F3"/>
    <w:rsid w:val="00A134A9"/>
    <w:rsid w:val="00A13B3A"/>
    <w:rsid w:val="00A16A61"/>
    <w:rsid w:val="00A20C82"/>
    <w:rsid w:val="00A26BD5"/>
    <w:rsid w:val="00A317CC"/>
    <w:rsid w:val="00A32947"/>
    <w:rsid w:val="00A3358D"/>
    <w:rsid w:val="00A3495D"/>
    <w:rsid w:val="00A379C7"/>
    <w:rsid w:val="00A554CB"/>
    <w:rsid w:val="00A5650E"/>
    <w:rsid w:val="00A576DA"/>
    <w:rsid w:val="00A6592F"/>
    <w:rsid w:val="00A724A4"/>
    <w:rsid w:val="00A858A2"/>
    <w:rsid w:val="00A92936"/>
    <w:rsid w:val="00AA60C4"/>
    <w:rsid w:val="00AA6A95"/>
    <w:rsid w:val="00AC682D"/>
    <w:rsid w:val="00AD40BF"/>
    <w:rsid w:val="00AE44E5"/>
    <w:rsid w:val="00B07580"/>
    <w:rsid w:val="00B104FA"/>
    <w:rsid w:val="00B500E9"/>
    <w:rsid w:val="00B50701"/>
    <w:rsid w:val="00B77A44"/>
    <w:rsid w:val="00B84CFF"/>
    <w:rsid w:val="00B87226"/>
    <w:rsid w:val="00BA4512"/>
    <w:rsid w:val="00BA5EAC"/>
    <w:rsid w:val="00BC6F83"/>
    <w:rsid w:val="00BC7BC3"/>
    <w:rsid w:val="00BD525B"/>
    <w:rsid w:val="00BE0142"/>
    <w:rsid w:val="00BE65F2"/>
    <w:rsid w:val="00BF0554"/>
    <w:rsid w:val="00C04A69"/>
    <w:rsid w:val="00C115B9"/>
    <w:rsid w:val="00C220D0"/>
    <w:rsid w:val="00C24629"/>
    <w:rsid w:val="00C25948"/>
    <w:rsid w:val="00C412C8"/>
    <w:rsid w:val="00C538E0"/>
    <w:rsid w:val="00C7009A"/>
    <w:rsid w:val="00C7499C"/>
    <w:rsid w:val="00CA248D"/>
    <w:rsid w:val="00CA5C77"/>
    <w:rsid w:val="00CB0D3F"/>
    <w:rsid w:val="00CB4D66"/>
    <w:rsid w:val="00CB7BED"/>
    <w:rsid w:val="00CE3E61"/>
    <w:rsid w:val="00CE5069"/>
    <w:rsid w:val="00CE572E"/>
    <w:rsid w:val="00D16443"/>
    <w:rsid w:val="00D20A98"/>
    <w:rsid w:val="00D21F57"/>
    <w:rsid w:val="00D42F01"/>
    <w:rsid w:val="00D44C5C"/>
    <w:rsid w:val="00D638A7"/>
    <w:rsid w:val="00D65A47"/>
    <w:rsid w:val="00D707AB"/>
    <w:rsid w:val="00D97CEA"/>
    <w:rsid w:val="00DA657F"/>
    <w:rsid w:val="00DB7832"/>
    <w:rsid w:val="00DC076F"/>
    <w:rsid w:val="00DC16E5"/>
    <w:rsid w:val="00DD2948"/>
    <w:rsid w:val="00DD539D"/>
    <w:rsid w:val="00DE2255"/>
    <w:rsid w:val="00DF000C"/>
    <w:rsid w:val="00E140BC"/>
    <w:rsid w:val="00E21A17"/>
    <w:rsid w:val="00E40905"/>
    <w:rsid w:val="00E41853"/>
    <w:rsid w:val="00E437B0"/>
    <w:rsid w:val="00E82870"/>
    <w:rsid w:val="00E91548"/>
    <w:rsid w:val="00E917D7"/>
    <w:rsid w:val="00E921A2"/>
    <w:rsid w:val="00E92C14"/>
    <w:rsid w:val="00EA76FD"/>
    <w:rsid w:val="00EA79B0"/>
    <w:rsid w:val="00EC4636"/>
    <w:rsid w:val="00ED3CD3"/>
    <w:rsid w:val="00EF7BBC"/>
    <w:rsid w:val="00F00879"/>
    <w:rsid w:val="00F05D56"/>
    <w:rsid w:val="00F05FF6"/>
    <w:rsid w:val="00F06B0B"/>
    <w:rsid w:val="00F12067"/>
    <w:rsid w:val="00F15263"/>
    <w:rsid w:val="00F26D94"/>
    <w:rsid w:val="00F30F14"/>
    <w:rsid w:val="00F5089B"/>
    <w:rsid w:val="00F508D8"/>
    <w:rsid w:val="00F61CAE"/>
    <w:rsid w:val="00F743EC"/>
    <w:rsid w:val="00F749CB"/>
    <w:rsid w:val="00F84C4B"/>
    <w:rsid w:val="00FA4EAE"/>
    <w:rsid w:val="00FA528C"/>
    <w:rsid w:val="00FA6CAC"/>
    <w:rsid w:val="00FB09B0"/>
    <w:rsid w:val="00FB0F44"/>
    <w:rsid w:val="00FB3168"/>
    <w:rsid w:val="00FC0E96"/>
    <w:rsid w:val="00FD4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2CA3E"/>
  <w15:chartTrackingRefBased/>
  <w15:docId w15:val="{DB52ECF8-8E38-4C6F-876D-BDC013AF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6CA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FA6CAC"/>
    <w:rPr>
      <w:color w:val="0000FF"/>
      <w:u w:val="single"/>
    </w:rPr>
  </w:style>
  <w:style w:type="paragraph" w:styleId="Textonotapie">
    <w:name w:val="footnote text"/>
    <w:basedOn w:val="Normal"/>
    <w:link w:val="TextonotapieCar"/>
    <w:uiPriority w:val="99"/>
    <w:semiHidden/>
    <w:unhideWhenUsed/>
    <w:rsid w:val="00264946"/>
    <w:pPr>
      <w:spacing w:after="0" w:line="240" w:lineRule="auto"/>
    </w:pPr>
    <w:rPr>
      <w:rFonts w:ascii="Calibri" w:eastAsia="Calibri" w:hAnsi="Calibri" w:cs="Times New Roman"/>
      <w:noProof/>
      <w:sz w:val="20"/>
      <w:szCs w:val="20"/>
      <w:lang w:val="en-US"/>
    </w:rPr>
  </w:style>
  <w:style w:type="character" w:customStyle="1" w:styleId="TextonotapieCar">
    <w:name w:val="Texto nota pie Car"/>
    <w:basedOn w:val="Fuentedeprrafopredeter"/>
    <w:link w:val="Textonotapie"/>
    <w:uiPriority w:val="99"/>
    <w:semiHidden/>
    <w:rsid w:val="00264946"/>
    <w:rPr>
      <w:rFonts w:ascii="Calibri" w:eastAsia="Calibri" w:hAnsi="Calibri" w:cs="Times New Roman"/>
      <w:noProof/>
      <w:sz w:val="20"/>
      <w:szCs w:val="20"/>
      <w:lang w:val="en-US"/>
    </w:rPr>
  </w:style>
  <w:style w:type="character" w:styleId="Refdenotaalpie">
    <w:name w:val="footnote reference"/>
    <w:basedOn w:val="Fuentedeprrafopredeter"/>
    <w:uiPriority w:val="99"/>
    <w:semiHidden/>
    <w:unhideWhenUsed/>
    <w:rsid w:val="00264946"/>
    <w:rPr>
      <w:vertAlign w:val="superscript"/>
    </w:rPr>
  </w:style>
  <w:style w:type="paragraph" w:styleId="Encabezado">
    <w:name w:val="header"/>
    <w:basedOn w:val="Normal"/>
    <w:link w:val="EncabezadoCar"/>
    <w:uiPriority w:val="99"/>
    <w:unhideWhenUsed/>
    <w:rsid w:val="00952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7AC"/>
  </w:style>
  <w:style w:type="paragraph" w:styleId="Piedepgina">
    <w:name w:val="footer"/>
    <w:basedOn w:val="Normal"/>
    <w:link w:val="PiedepginaCar"/>
    <w:uiPriority w:val="99"/>
    <w:unhideWhenUsed/>
    <w:rsid w:val="00952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7AC"/>
  </w:style>
  <w:style w:type="paragraph" w:styleId="Revisin">
    <w:name w:val="Revision"/>
    <w:hidden/>
    <w:uiPriority w:val="99"/>
    <w:semiHidden/>
    <w:rsid w:val="00E91548"/>
    <w:pPr>
      <w:spacing w:after="0" w:line="240" w:lineRule="auto"/>
    </w:pPr>
  </w:style>
  <w:style w:type="paragraph" w:styleId="Textodeglobo">
    <w:name w:val="Balloon Text"/>
    <w:basedOn w:val="Normal"/>
    <w:link w:val="TextodegloboCar"/>
    <w:uiPriority w:val="99"/>
    <w:semiHidden/>
    <w:unhideWhenUsed/>
    <w:rsid w:val="00E915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548"/>
    <w:rPr>
      <w:rFonts w:ascii="Segoe UI" w:hAnsi="Segoe UI" w:cs="Segoe UI"/>
      <w:sz w:val="18"/>
      <w:szCs w:val="18"/>
    </w:rPr>
  </w:style>
  <w:style w:type="paragraph" w:styleId="HTMLconformatoprevio">
    <w:name w:val="HTML Preformatted"/>
    <w:basedOn w:val="Normal"/>
    <w:link w:val="HTMLconformatoprevioCar"/>
    <w:uiPriority w:val="99"/>
    <w:unhideWhenUsed/>
    <w:rsid w:val="005A17FA"/>
    <w:pPr>
      <w:widowControl w:val="0"/>
      <w:spacing w:after="0" w:line="240" w:lineRule="auto"/>
    </w:pPr>
    <w:rPr>
      <w:rFonts w:ascii="Consolas" w:eastAsia="Calibri" w:hAnsi="Consolas" w:cs="Times New Roman"/>
      <w:sz w:val="20"/>
      <w:szCs w:val="20"/>
    </w:rPr>
  </w:style>
  <w:style w:type="character" w:customStyle="1" w:styleId="HTMLconformatoprevioCar">
    <w:name w:val="HTML con formato previo Car"/>
    <w:basedOn w:val="Fuentedeprrafopredeter"/>
    <w:link w:val="HTMLconformatoprevio"/>
    <w:uiPriority w:val="99"/>
    <w:rsid w:val="005A17FA"/>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40712">
      <w:bodyDiv w:val="1"/>
      <w:marLeft w:val="0"/>
      <w:marRight w:val="0"/>
      <w:marTop w:val="0"/>
      <w:marBottom w:val="0"/>
      <w:divBdr>
        <w:top w:val="none" w:sz="0" w:space="0" w:color="auto"/>
        <w:left w:val="none" w:sz="0" w:space="0" w:color="auto"/>
        <w:bottom w:val="none" w:sz="0" w:space="0" w:color="auto"/>
        <w:right w:val="none" w:sz="0" w:space="0" w:color="auto"/>
      </w:divBdr>
    </w:div>
    <w:div w:id="383023812">
      <w:bodyDiv w:val="1"/>
      <w:marLeft w:val="0"/>
      <w:marRight w:val="0"/>
      <w:marTop w:val="0"/>
      <w:marBottom w:val="0"/>
      <w:divBdr>
        <w:top w:val="none" w:sz="0" w:space="0" w:color="auto"/>
        <w:left w:val="none" w:sz="0" w:space="0" w:color="auto"/>
        <w:bottom w:val="none" w:sz="0" w:space="0" w:color="auto"/>
        <w:right w:val="none" w:sz="0" w:space="0" w:color="auto"/>
      </w:divBdr>
    </w:div>
    <w:div w:id="455101231">
      <w:bodyDiv w:val="1"/>
      <w:marLeft w:val="0"/>
      <w:marRight w:val="0"/>
      <w:marTop w:val="0"/>
      <w:marBottom w:val="0"/>
      <w:divBdr>
        <w:top w:val="none" w:sz="0" w:space="0" w:color="auto"/>
        <w:left w:val="none" w:sz="0" w:space="0" w:color="auto"/>
        <w:bottom w:val="none" w:sz="0" w:space="0" w:color="auto"/>
        <w:right w:val="none" w:sz="0" w:space="0" w:color="auto"/>
      </w:divBdr>
    </w:div>
    <w:div w:id="525486227">
      <w:bodyDiv w:val="1"/>
      <w:marLeft w:val="0"/>
      <w:marRight w:val="0"/>
      <w:marTop w:val="0"/>
      <w:marBottom w:val="0"/>
      <w:divBdr>
        <w:top w:val="none" w:sz="0" w:space="0" w:color="auto"/>
        <w:left w:val="none" w:sz="0" w:space="0" w:color="auto"/>
        <w:bottom w:val="none" w:sz="0" w:space="0" w:color="auto"/>
        <w:right w:val="none" w:sz="0" w:space="0" w:color="auto"/>
      </w:divBdr>
    </w:div>
    <w:div w:id="536045016">
      <w:bodyDiv w:val="1"/>
      <w:marLeft w:val="0"/>
      <w:marRight w:val="0"/>
      <w:marTop w:val="0"/>
      <w:marBottom w:val="0"/>
      <w:divBdr>
        <w:top w:val="none" w:sz="0" w:space="0" w:color="auto"/>
        <w:left w:val="none" w:sz="0" w:space="0" w:color="auto"/>
        <w:bottom w:val="none" w:sz="0" w:space="0" w:color="auto"/>
        <w:right w:val="none" w:sz="0" w:space="0" w:color="auto"/>
      </w:divBdr>
    </w:div>
    <w:div w:id="602499195">
      <w:bodyDiv w:val="1"/>
      <w:marLeft w:val="0"/>
      <w:marRight w:val="0"/>
      <w:marTop w:val="0"/>
      <w:marBottom w:val="0"/>
      <w:divBdr>
        <w:top w:val="none" w:sz="0" w:space="0" w:color="auto"/>
        <w:left w:val="none" w:sz="0" w:space="0" w:color="auto"/>
        <w:bottom w:val="none" w:sz="0" w:space="0" w:color="auto"/>
        <w:right w:val="none" w:sz="0" w:space="0" w:color="auto"/>
      </w:divBdr>
    </w:div>
    <w:div w:id="752505430">
      <w:bodyDiv w:val="1"/>
      <w:marLeft w:val="0"/>
      <w:marRight w:val="0"/>
      <w:marTop w:val="0"/>
      <w:marBottom w:val="0"/>
      <w:divBdr>
        <w:top w:val="none" w:sz="0" w:space="0" w:color="auto"/>
        <w:left w:val="none" w:sz="0" w:space="0" w:color="auto"/>
        <w:bottom w:val="none" w:sz="0" w:space="0" w:color="auto"/>
        <w:right w:val="none" w:sz="0" w:space="0" w:color="auto"/>
      </w:divBdr>
    </w:div>
    <w:div w:id="847717893">
      <w:bodyDiv w:val="1"/>
      <w:marLeft w:val="0"/>
      <w:marRight w:val="0"/>
      <w:marTop w:val="0"/>
      <w:marBottom w:val="0"/>
      <w:divBdr>
        <w:top w:val="none" w:sz="0" w:space="0" w:color="auto"/>
        <w:left w:val="none" w:sz="0" w:space="0" w:color="auto"/>
        <w:bottom w:val="none" w:sz="0" w:space="0" w:color="auto"/>
        <w:right w:val="none" w:sz="0" w:space="0" w:color="auto"/>
      </w:divBdr>
    </w:div>
    <w:div w:id="1014116949">
      <w:bodyDiv w:val="1"/>
      <w:marLeft w:val="0"/>
      <w:marRight w:val="0"/>
      <w:marTop w:val="0"/>
      <w:marBottom w:val="0"/>
      <w:divBdr>
        <w:top w:val="none" w:sz="0" w:space="0" w:color="auto"/>
        <w:left w:val="none" w:sz="0" w:space="0" w:color="auto"/>
        <w:bottom w:val="none" w:sz="0" w:space="0" w:color="auto"/>
        <w:right w:val="none" w:sz="0" w:space="0" w:color="auto"/>
      </w:divBdr>
    </w:div>
    <w:div w:id="1086076149">
      <w:bodyDiv w:val="1"/>
      <w:marLeft w:val="0"/>
      <w:marRight w:val="0"/>
      <w:marTop w:val="0"/>
      <w:marBottom w:val="0"/>
      <w:divBdr>
        <w:top w:val="none" w:sz="0" w:space="0" w:color="auto"/>
        <w:left w:val="none" w:sz="0" w:space="0" w:color="auto"/>
        <w:bottom w:val="none" w:sz="0" w:space="0" w:color="auto"/>
        <w:right w:val="none" w:sz="0" w:space="0" w:color="auto"/>
      </w:divBdr>
    </w:div>
    <w:div w:id="1406607173">
      <w:bodyDiv w:val="1"/>
      <w:marLeft w:val="0"/>
      <w:marRight w:val="0"/>
      <w:marTop w:val="0"/>
      <w:marBottom w:val="0"/>
      <w:divBdr>
        <w:top w:val="none" w:sz="0" w:space="0" w:color="auto"/>
        <w:left w:val="none" w:sz="0" w:space="0" w:color="auto"/>
        <w:bottom w:val="none" w:sz="0" w:space="0" w:color="auto"/>
        <w:right w:val="none" w:sz="0" w:space="0" w:color="auto"/>
      </w:divBdr>
    </w:div>
    <w:div w:id="1441030860">
      <w:bodyDiv w:val="1"/>
      <w:marLeft w:val="0"/>
      <w:marRight w:val="0"/>
      <w:marTop w:val="0"/>
      <w:marBottom w:val="0"/>
      <w:divBdr>
        <w:top w:val="none" w:sz="0" w:space="0" w:color="auto"/>
        <w:left w:val="none" w:sz="0" w:space="0" w:color="auto"/>
        <w:bottom w:val="none" w:sz="0" w:space="0" w:color="auto"/>
        <w:right w:val="none" w:sz="0" w:space="0" w:color="auto"/>
      </w:divBdr>
    </w:div>
    <w:div w:id="1630159462">
      <w:bodyDiv w:val="1"/>
      <w:marLeft w:val="0"/>
      <w:marRight w:val="0"/>
      <w:marTop w:val="0"/>
      <w:marBottom w:val="0"/>
      <w:divBdr>
        <w:top w:val="none" w:sz="0" w:space="0" w:color="auto"/>
        <w:left w:val="none" w:sz="0" w:space="0" w:color="auto"/>
        <w:bottom w:val="none" w:sz="0" w:space="0" w:color="auto"/>
        <w:right w:val="none" w:sz="0" w:space="0" w:color="auto"/>
      </w:divBdr>
    </w:div>
    <w:div w:id="1642534158">
      <w:bodyDiv w:val="1"/>
      <w:marLeft w:val="0"/>
      <w:marRight w:val="0"/>
      <w:marTop w:val="0"/>
      <w:marBottom w:val="0"/>
      <w:divBdr>
        <w:top w:val="none" w:sz="0" w:space="0" w:color="auto"/>
        <w:left w:val="none" w:sz="0" w:space="0" w:color="auto"/>
        <w:bottom w:val="none" w:sz="0" w:space="0" w:color="auto"/>
        <w:right w:val="none" w:sz="0" w:space="0" w:color="auto"/>
      </w:divBdr>
    </w:div>
    <w:div w:id="1800029906">
      <w:bodyDiv w:val="1"/>
      <w:marLeft w:val="0"/>
      <w:marRight w:val="0"/>
      <w:marTop w:val="0"/>
      <w:marBottom w:val="0"/>
      <w:divBdr>
        <w:top w:val="none" w:sz="0" w:space="0" w:color="auto"/>
        <w:left w:val="none" w:sz="0" w:space="0" w:color="auto"/>
        <w:bottom w:val="none" w:sz="0" w:space="0" w:color="auto"/>
        <w:right w:val="none" w:sz="0" w:space="0" w:color="auto"/>
      </w:divBdr>
    </w:div>
    <w:div w:id="1873613022">
      <w:bodyDiv w:val="1"/>
      <w:marLeft w:val="0"/>
      <w:marRight w:val="0"/>
      <w:marTop w:val="0"/>
      <w:marBottom w:val="0"/>
      <w:divBdr>
        <w:top w:val="none" w:sz="0" w:space="0" w:color="auto"/>
        <w:left w:val="none" w:sz="0" w:space="0" w:color="auto"/>
        <w:bottom w:val="none" w:sz="0" w:space="0" w:color="auto"/>
        <w:right w:val="none" w:sz="0" w:space="0" w:color="auto"/>
      </w:divBdr>
    </w:div>
    <w:div w:id="20953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7F38-92EC-4747-812C-148365C2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10152</Words>
  <Characters>55838</Characters>
  <Application>Microsoft Office Word</Application>
  <DocSecurity>0</DocSecurity>
  <Lines>465</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Ramírez</dc:creator>
  <cp:keywords/>
  <dc:description/>
  <cp:lastModifiedBy>Gustavo Toledo</cp:lastModifiedBy>
  <cp:revision>3</cp:revision>
  <dcterms:created xsi:type="dcterms:W3CDTF">2020-11-06T17:46:00Z</dcterms:created>
  <dcterms:modified xsi:type="dcterms:W3CDTF">2020-11-09T18:54:00Z</dcterms:modified>
</cp:coreProperties>
</file>