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622A" w14:textId="15E12DC4" w:rsidR="009E3E75" w:rsidRDefault="009E3E75" w:rsidP="009E3E75">
      <w:pPr>
        <w:spacing w:line="360" w:lineRule="auto"/>
        <w:jc w:val="right"/>
        <w:rPr>
          <w:b/>
          <w:bCs/>
          <w:sz w:val="28"/>
          <w:szCs w:val="28"/>
          <w:lang w:eastAsia="es-ES_tradnl"/>
        </w:rPr>
      </w:pPr>
      <w:r w:rsidRPr="00B255C3">
        <w:rPr>
          <w:b/>
          <w:bCs/>
          <w:i/>
          <w:iCs/>
        </w:rPr>
        <w:t>Artículos científicos</w:t>
      </w:r>
    </w:p>
    <w:p w14:paraId="3290BEF8" w14:textId="7F25B012" w:rsidR="00F93C65" w:rsidRPr="009E3E75" w:rsidRDefault="00F93C65" w:rsidP="00F93C65">
      <w:pPr>
        <w:jc w:val="right"/>
        <w:rPr>
          <w:rFonts w:ascii="Calibri" w:eastAsia="Calibri" w:hAnsi="Calibri" w:cs="Calibri"/>
          <w:b/>
          <w:color w:val="000000"/>
          <w:sz w:val="36"/>
          <w:szCs w:val="36"/>
          <w:lang w:val="es-ES"/>
        </w:rPr>
      </w:pPr>
      <w:r w:rsidRPr="009E3E75">
        <w:rPr>
          <w:rFonts w:ascii="Calibri" w:eastAsia="Calibri" w:hAnsi="Calibri" w:cs="Calibri"/>
          <w:b/>
          <w:color w:val="000000"/>
          <w:sz w:val="36"/>
          <w:szCs w:val="36"/>
          <w:lang w:val="es-ES"/>
        </w:rPr>
        <w:t>Cumplimiento de indicadores de calidad nacionales para la modalidad no escolarizada de</w:t>
      </w:r>
      <w:r w:rsidR="009A17AD">
        <w:rPr>
          <w:rFonts w:ascii="Calibri" w:eastAsia="Calibri" w:hAnsi="Calibri" w:cs="Calibri"/>
          <w:b/>
          <w:color w:val="000000"/>
          <w:sz w:val="36"/>
          <w:szCs w:val="36"/>
          <w:lang w:val="es-ES"/>
        </w:rPr>
        <w:t xml:space="preserve"> los </w:t>
      </w:r>
      <w:r w:rsidRPr="009E3E75">
        <w:rPr>
          <w:rFonts w:ascii="Calibri" w:eastAsia="Calibri" w:hAnsi="Calibri" w:cs="Calibri"/>
          <w:b/>
          <w:color w:val="000000"/>
          <w:sz w:val="36"/>
          <w:szCs w:val="36"/>
          <w:lang w:val="es-ES"/>
        </w:rPr>
        <w:t xml:space="preserve">posgrados </w:t>
      </w:r>
      <w:r w:rsidR="00CC618E" w:rsidRPr="009E3E75">
        <w:rPr>
          <w:rFonts w:ascii="Calibri" w:eastAsia="Calibri" w:hAnsi="Calibri" w:cs="Calibri"/>
          <w:b/>
          <w:color w:val="000000"/>
          <w:sz w:val="36"/>
          <w:szCs w:val="36"/>
          <w:lang w:val="es-ES"/>
        </w:rPr>
        <w:t>desde</w:t>
      </w:r>
      <w:r w:rsidRPr="009E3E75">
        <w:rPr>
          <w:rFonts w:ascii="Calibri" w:eastAsia="Calibri" w:hAnsi="Calibri" w:cs="Calibri"/>
          <w:b/>
          <w:color w:val="000000"/>
          <w:sz w:val="36"/>
          <w:szCs w:val="36"/>
          <w:lang w:val="es-ES"/>
        </w:rPr>
        <w:t xml:space="preserve"> un análisis de </w:t>
      </w:r>
      <w:r w:rsidR="0016089B">
        <w:rPr>
          <w:rFonts w:ascii="Calibri" w:eastAsia="Calibri" w:hAnsi="Calibri" w:cs="Calibri"/>
          <w:b/>
          <w:color w:val="000000"/>
          <w:sz w:val="36"/>
          <w:szCs w:val="36"/>
          <w:lang w:val="es-ES"/>
        </w:rPr>
        <w:t>TIC</w:t>
      </w:r>
    </w:p>
    <w:p w14:paraId="38960611" w14:textId="77777777" w:rsidR="004A7F40" w:rsidRPr="00C937E7" w:rsidRDefault="004A7F40" w:rsidP="00552EB9">
      <w:pPr>
        <w:jc w:val="right"/>
        <w:rPr>
          <w:b/>
          <w:bCs/>
          <w:sz w:val="28"/>
          <w:szCs w:val="28"/>
          <w:lang w:eastAsia="es-ES_tradnl"/>
        </w:rPr>
      </w:pPr>
    </w:p>
    <w:p w14:paraId="37E66A2B" w14:textId="77777777" w:rsidR="00CC618E" w:rsidRDefault="00CC618E" w:rsidP="00552EB9">
      <w:pPr>
        <w:jc w:val="right"/>
        <w:rPr>
          <w:rFonts w:ascii="Calibri" w:eastAsia="Calibri" w:hAnsi="Calibri" w:cs="Calibri"/>
          <w:b/>
          <w:bCs/>
          <w:i/>
          <w:iCs/>
          <w:color w:val="000000"/>
          <w:sz w:val="28"/>
          <w:szCs w:val="28"/>
          <w:lang w:val="en-US"/>
        </w:rPr>
      </w:pPr>
      <w:r w:rsidRPr="00CC618E">
        <w:rPr>
          <w:rFonts w:ascii="Calibri" w:eastAsia="Calibri" w:hAnsi="Calibri" w:cs="Calibri"/>
          <w:b/>
          <w:bCs/>
          <w:i/>
          <w:iCs/>
          <w:color w:val="000000"/>
          <w:sz w:val="28"/>
          <w:szCs w:val="28"/>
          <w:lang w:val="en-US"/>
        </w:rPr>
        <w:t>Compliance with national quality indicators for the non-school modality of postgraduate programs from an ICT analysis</w:t>
      </w:r>
    </w:p>
    <w:p w14:paraId="60788594" w14:textId="504893CF" w:rsidR="000940EF" w:rsidRPr="00C937E7" w:rsidRDefault="000940EF" w:rsidP="00552EB9">
      <w:pPr>
        <w:jc w:val="right"/>
        <w:rPr>
          <w:rStyle w:val="jlqj4b"/>
          <w:lang w:val="en" w:eastAsia="es-ES_tradnl"/>
        </w:rPr>
      </w:pPr>
    </w:p>
    <w:p w14:paraId="0B5B3CAD" w14:textId="7EA54C1A" w:rsidR="004A7F40" w:rsidRPr="002A06AE" w:rsidRDefault="002A06AE" w:rsidP="00552EB9">
      <w:pPr>
        <w:jc w:val="right"/>
        <w:rPr>
          <w:rFonts w:ascii="Calibri" w:eastAsia="Calibri" w:hAnsi="Calibri" w:cs="Calibri"/>
          <w:b/>
          <w:bCs/>
          <w:i/>
          <w:iCs/>
          <w:color w:val="000000"/>
          <w:sz w:val="28"/>
          <w:szCs w:val="28"/>
        </w:rPr>
      </w:pPr>
      <w:r w:rsidRPr="002A06AE">
        <w:rPr>
          <w:rFonts w:ascii="Calibri" w:eastAsia="Calibri" w:hAnsi="Calibri" w:cs="Calibri"/>
          <w:b/>
          <w:bCs/>
          <w:i/>
          <w:iCs/>
          <w:color w:val="000000"/>
          <w:sz w:val="28"/>
          <w:szCs w:val="28"/>
        </w:rPr>
        <w:t>Conformidade com indicadores nacionais de qualidade para a modalidade não escolar de programas de pós-graduação a partir de uma análise de TIC</w:t>
      </w:r>
    </w:p>
    <w:p w14:paraId="26657E0E" w14:textId="77777777" w:rsidR="002A06AE" w:rsidRPr="002A06AE" w:rsidRDefault="002A06AE" w:rsidP="00552EB9">
      <w:pPr>
        <w:jc w:val="right"/>
        <w:rPr>
          <w:rStyle w:val="jlqj4b"/>
          <w:lang w:eastAsia="es-ES_tradnl"/>
        </w:rPr>
      </w:pPr>
    </w:p>
    <w:p w14:paraId="18BD59BD" w14:textId="053A6384" w:rsidR="004A7F40" w:rsidRPr="009E3E75" w:rsidRDefault="004A7F40" w:rsidP="009E3E75">
      <w:pPr>
        <w:autoSpaceDE w:val="0"/>
        <w:autoSpaceDN w:val="0"/>
        <w:adjustRightInd w:val="0"/>
        <w:spacing w:line="276" w:lineRule="auto"/>
        <w:jc w:val="right"/>
        <w:rPr>
          <w:rFonts w:asciiTheme="minorHAnsi" w:hAnsiTheme="minorHAnsi" w:cstheme="minorHAnsi"/>
          <w:b/>
          <w:color w:val="000000"/>
        </w:rPr>
      </w:pPr>
      <w:r w:rsidRPr="009E3E75">
        <w:rPr>
          <w:rFonts w:asciiTheme="minorHAnsi" w:hAnsiTheme="minorHAnsi" w:cstheme="minorHAnsi"/>
          <w:b/>
          <w:color w:val="000000"/>
        </w:rPr>
        <w:t>Magali Lecuona Patiño</w:t>
      </w:r>
    </w:p>
    <w:p w14:paraId="5A3D6197" w14:textId="77777777" w:rsidR="009E3E75" w:rsidRPr="00C937E7" w:rsidRDefault="009E3E75" w:rsidP="009E3E75">
      <w:pPr>
        <w:pStyle w:val="HTMLconformatoprevio"/>
        <w:spacing w:line="276" w:lineRule="auto"/>
        <w:jc w:val="right"/>
        <w:rPr>
          <w:rFonts w:ascii="Times New Roman" w:hAnsi="Times New Roman" w:cs="Times New Roman"/>
          <w:sz w:val="24"/>
          <w:szCs w:val="24"/>
        </w:rPr>
      </w:pPr>
      <w:r w:rsidRPr="00C937E7">
        <w:rPr>
          <w:rFonts w:ascii="Times New Roman" w:hAnsi="Times New Roman" w:cs="Times New Roman"/>
          <w:color w:val="000000"/>
          <w:sz w:val="24"/>
          <w:szCs w:val="24"/>
        </w:rPr>
        <w:t>Universidad Autónoma del Estado de México</w:t>
      </w:r>
      <w:r>
        <w:rPr>
          <w:rFonts w:ascii="Times New Roman" w:hAnsi="Times New Roman" w:cs="Times New Roman"/>
          <w:color w:val="000000"/>
          <w:sz w:val="24"/>
          <w:szCs w:val="24"/>
        </w:rPr>
        <w:t>, México</w:t>
      </w:r>
    </w:p>
    <w:p w14:paraId="4942D1B3" w14:textId="23739B5E" w:rsidR="004A7F40" w:rsidRPr="009E3E75" w:rsidRDefault="004A7F40" w:rsidP="009E3E75">
      <w:pPr>
        <w:pStyle w:val="HTMLconformatoprevio"/>
        <w:spacing w:line="276" w:lineRule="auto"/>
        <w:jc w:val="right"/>
        <w:rPr>
          <w:rStyle w:val="Hipervnculo"/>
          <w:rFonts w:asciiTheme="minorHAnsi" w:hAnsiTheme="minorHAnsi" w:cstheme="minorHAnsi"/>
          <w:sz w:val="24"/>
          <w:szCs w:val="24"/>
          <w:u w:val="none"/>
        </w:rPr>
      </w:pPr>
      <w:r w:rsidRPr="009E3E75">
        <w:rPr>
          <w:rStyle w:val="Hipervnculo"/>
          <w:rFonts w:asciiTheme="minorHAnsi" w:hAnsiTheme="minorHAnsi" w:cstheme="minorHAnsi"/>
          <w:color w:val="FF0000"/>
          <w:sz w:val="24"/>
          <w:szCs w:val="24"/>
          <w:u w:val="none"/>
        </w:rPr>
        <w:t>magalilp@gmail.com</w:t>
      </w:r>
    </w:p>
    <w:p w14:paraId="07DE486C" w14:textId="6360FE1C" w:rsidR="00CC618E" w:rsidRPr="00C937E7" w:rsidRDefault="00CC618E" w:rsidP="00CC618E">
      <w:pPr>
        <w:pStyle w:val="HTMLconformatoprevio"/>
        <w:spacing w:line="276" w:lineRule="auto"/>
        <w:jc w:val="right"/>
        <w:rPr>
          <w:rStyle w:val="Hipervnculo"/>
          <w:rFonts w:ascii="Times New Roman" w:hAnsi="Times New Roman" w:cs="Times New Roman"/>
          <w:sz w:val="24"/>
          <w:szCs w:val="24"/>
        </w:rPr>
      </w:pPr>
      <w:r w:rsidRPr="009E3E75">
        <w:rPr>
          <w:rFonts w:ascii="Times New Roman" w:hAnsi="Times New Roman" w:cs="Times New Roman"/>
          <w:sz w:val="24"/>
          <w:szCs w:val="24"/>
        </w:rPr>
        <w:t>https://orcid.org/0000-0002-</w:t>
      </w:r>
      <w:r>
        <w:rPr>
          <w:rFonts w:ascii="Times New Roman" w:hAnsi="Times New Roman" w:cs="Times New Roman"/>
          <w:sz w:val="24"/>
          <w:szCs w:val="24"/>
        </w:rPr>
        <w:t>9133</w:t>
      </w:r>
      <w:r w:rsidRPr="009E3E75">
        <w:rPr>
          <w:rFonts w:ascii="Times New Roman" w:hAnsi="Times New Roman" w:cs="Times New Roman"/>
          <w:sz w:val="24"/>
          <w:szCs w:val="24"/>
        </w:rPr>
        <w:t>-</w:t>
      </w:r>
      <w:r>
        <w:rPr>
          <w:rFonts w:ascii="Times New Roman" w:hAnsi="Times New Roman" w:cs="Times New Roman"/>
          <w:sz w:val="24"/>
          <w:szCs w:val="24"/>
        </w:rPr>
        <w:t>4668</w:t>
      </w:r>
    </w:p>
    <w:p w14:paraId="521A771F" w14:textId="77777777" w:rsidR="000940EF" w:rsidRPr="00BF54DA" w:rsidRDefault="000940EF" w:rsidP="009E3E75">
      <w:pPr>
        <w:pStyle w:val="Sinespaciado"/>
        <w:spacing w:line="276" w:lineRule="auto"/>
        <w:jc w:val="right"/>
        <w:rPr>
          <w:rFonts w:ascii="Times New Roman" w:hAnsi="Times New Roman" w:cs="Times New Roman"/>
          <w:sz w:val="24"/>
          <w:szCs w:val="24"/>
        </w:rPr>
      </w:pPr>
    </w:p>
    <w:p w14:paraId="733A0C85" w14:textId="7FD5C1A8" w:rsidR="000940EF" w:rsidRPr="009E3E75" w:rsidRDefault="000940EF" w:rsidP="009E3E75">
      <w:pPr>
        <w:autoSpaceDE w:val="0"/>
        <w:autoSpaceDN w:val="0"/>
        <w:adjustRightInd w:val="0"/>
        <w:spacing w:line="276" w:lineRule="auto"/>
        <w:jc w:val="right"/>
        <w:rPr>
          <w:rFonts w:asciiTheme="minorHAnsi" w:hAnsiTheme="minorHAnsi" w:cstheme="minorHAnsi"/>
          <w:b/>
          <w:color w:val="000000"/>
        </w:rPr>
      </w:pPr>
      <w:r w:rsidRPr="009E3E75">
        <w:rPr>
          <w:rFonts w:asciiTheme="minorHAnsi" w:hAnsiTheme="minorHAnsi" w:cstheme="minorHAnsi"/>
          <w:b/>
          <w:color w:val="000000"/>
        </w:rPr>
        <w:t>Araceli Romero Romero*</w:t>
      </w:r>
    </w:p>
    <w:p w14:paraId="4FA3352A" w14:textId="77777777" w:rsidR="009E3E75" w:rsidRPr="00C937E7" w:rsidRDefault="009E3E75" w:rsidP="009E3E75">
      <w:pPr>
        <w:pStyle w:val="HTMLconformatoprevio"/>
        <w:spacing w:line="276" w:lineRule="auto"/>
        <w:jc w:val="right"/>
        <w:rPr>
          <w:rFonts w:ascii="Times New Roman" w:hAnsi="Times New Roman" w:cs="Times New Roman"/>
          <w:sz w:val="24"/>
          <w:szCs w:val="24"/>
        </w:rPr>
      </w:pPr>
      <w:r w:rsidRPr="00C937E7">
        <w:rPr>
          <w:rFonts w:ascii="Times New Roman" w:hAnsi="Times New Roman" w:cs="Times New Roman"/>
          <w:color w:val="000000"/>
          <w:sz w:val="24"/>
          <w:szCs w:val="24"/>
        </w:rPr>
        <w:t>Universidad Autónoma del Estado de México</w:t>
      </w:r>
      <w:r>
        <w:rPr>
          <w:rFonts w:ascii="Times New Roman" w:hAnsi="Times New Roman" w:cs="Times New Roman"/>
          <w:color w:val="000000"/>
          <w:sz w:val="24"/>
          <w:szCs w:val="24"/>
        </w:rPr>
        <w:t>, México</w:t>
      </w:r>
    </w:p>
    <w:p w14:paraId="14FF34A5" w14:textId="36F19ED2" w:rsidR="000940EF" w:rsidRPr="009E3E75" w:rsidRDefault="00B96CAD" w:rsidP="009E3E75">
      <w:pPr>
        <w:pStyle w:val="HTMLconformatoprevio"/>
        <w:spacing w:line="276" w:lineRule="auto"/>
        <w:jc w:val="right"/>
        <w:rPr>
          <w:rStyle w:val="Hipervnculo"/>
          <w:rFonts w:asciiTheme="minorHAnsi" w:hAnsiTheme="minorHAnsi" w:cstheme="minorHAnsi"/>
          <w:color w:val="FF0000"/>
          <w:sz w:val="32"/>
          <w:szCs w:val="32"/>
          <w:u w:val="none"/>
        </w:rPr>
      </w:pPr>
      <w:r w:rsidRPr="009E3E75">
        <w:rPr>
          <w:rStyle w:val="Hipervnculo"/>
          <w:rFonts w:asciiTheme="minorHAnsi" w:hAnsiTheme="minorHAnsi" w:cstheme="minorHAnsi"/>
          <w:color w:val="FF0000"/>
          <w:sz w:val="24"/>
          <w:szCs w:val="24"/>
          <w:u w:val="none"/>
        </w:rPr>
        <w:t xml:space="preserve">aromeroruaemex@gmail.com </w:t>
      </w:r>
    </w:p>
    <w:p w14:paraId="36375819" w14:textId="71882BA3" w:rsidR="000940EF" w:rsidRPr="00C937E7" w:rsidRDefault="000940EF" w:rsidP="009E3E75">
      <w:pPr>
        <w:pStyle w:val="HTMLconformatoprevio"/>
        <w:spacing w:line="276" w:lineRule="auto"/>
        <w:jc w:val="right"/>
        <w:rPr>
          <w:rStyle w:val="Hipervnculo"/>
          <w:rFonts w:ascii="Times New Roman" w:hAnsi="Times New Roman" w:cs="Times New Roman"/>
          <w:sz w:val="24"/>
          <w:szCs w:val="24"/>
        </w:rPr>
      </w:pPr>
      <w:r w:rsidRPr="009E3E75">
        <w:rPr>
          <w:rFonts w:ascii="Times New Roman" w:hAnsi="Times New Roman" w:cs="Times New Roman"/>
          <w:sz w:val="24"/>
          <w:szCs w:val="24"/>
        </w:rPr>
        <w:t>https://orcid.org/0000-0002-0328-0525</w:t>
      </w:r>
    </w:p>
    <w:p w14:paraId="5F223F95" w14:textId="3FEE1504" w:rsidR="004A7F40" w:rsidRPr="00C937E7" w:rsidRDefault="004A7F40" w:rsidP="009E3E75">
      <w:pPr>
        <w:pStyle w:val="HTMLconformatoprevio"/>
        <w:spacing w:line="276" w:lineRule="auto"/>
        <w:jc w:val="right"/>
        <w:rPr>
          <w:rStyle w:val="Hipervnculo"/>
          <w:rFonts w:ascii="Times New Roman" w:hAnsi="Times New Roman" w:cs="Times New Roman"/>
          <w:sz w:val="24"/>
          <w:szCs w:val="24"/>
        </w:rPr>
      </w:pPr>
    </w:p>
    <w:p w14:paraId="0E294DB1" w14:textId="433B6CEA" w:rsidR="004A7F40" w:rsidRPr="009E3E75" w:rsidRDefault="004A7F40" w:rsidP="009E3E75">
      <w:pPr>
        <w:autoSpaceDE w:val="0"/>
        <w:autoSpaceDN w:val="0"/>
        <w:adjustRightInd w:val="0"/>
        <w:spacing w:line="276" w:lineRule="auto"/>
        <w:jc w:val="right"/>
        <w:rPr>
          <w:rFonts w:asciiTheme="minorHAnsi" w:hAnsiTheme="minorHAnsi" w:cstheme="minorHAnsi"/>
          <w:b/>
          <w:color w:val="000000"/>
        </w:rPr>
      </w:pPr>
      <w:r w:rsidRPr="009E3E75">
        <w:rPr>
          <w:rFonts w:asciiTheme="minorHAnsi" w:hAnsiTheme="minorHAnsi" w:cstheme="minorHAnsi"/>
          <w:b/>
          <w:color w:val="000000"/>
        </w:rPr>
        <w:t>Alejandro Hernández Suárez</w:t>
      </w:r>
    </w:p>
    <w:p w14:paraId="5686CF8D" w14:textId="77777777" w:rsidR="009E3E75" w:rsidRPr="00C937E7" w:rsidRDefault="009E3E75" w:rsidP="009E3E75">
      <w:pPr>
        <w:pStyle w:val="HTMLconformatoprevio"/>
        <w:spacing w:line="276" w:lineRule="auto"/>
        <w:jc w:val="right"/>
        <w:rPr>
          <w:rFonts w:ascii="Times New Roman" w:hAnsi="Times New Roman" w:cs="Times New Roman"/>
          <w:sz w:val="24"/>
          <w:szCs w:val="24"/>
        </w:rPr>
      </w:pPr>
      <w:r w:rsidRPr="00C937E7">
        <w:rPr>
          <w:rFonts w:ascii="Times New Roman" w:hAnsi="Times New Roman" w:cs="Times New Roman"/>
          <w:color w:val="000000"/>
          <w:sz w:val="24"/>
          <w:szCs w:val="24"/>
        </w:rPr>
        <w:t>Universidad Autónoma del Estado de México</w:t>
      </w:r>
      <w:r>
        <w:rPr>
          <w:rFonts w:ascii="Times New Roman" w:hAnsi="Times New Roman" w:cs="Times New Roman"/>
          <w:color w:val="000000"/>
          <w:sz w:val="24"/>
          <w:szCs w:val="24"/>
        </w:rPr>
        <w:t>, México</w:t>
      </w:r>
    </w:p>
    <w:p w14:paraId="55FEA023" w14:textId="77777777" w:rsidR="004A7F40" w:rsidRPr="009E3E75" w:rsidRDefault="004A7F40" w:rsidP="009E3E75">
      <w:pPr>
        <w:pStyle w:val="HTMLconformatoprevio"/>
        <w:spacing w:line="276" w:lineRule="auto"/>
        <w:jc w:val="right"/>
        <w:rPr>
          <w:rStyle w:val="Hipervnculo"/>
          <w:rFonts w:asciiTheme="minorHAnsi" w:hAnsiTheme="minorHAnsi" w:cstheme="minorHAnsi"/>
          <w:color w:val="FF0000"/>
          <w:sz w:val="24"/>
          <w:szCs w:val="24"/>
          <w:u w:val="none"/>
        </w:rPr>
      </w:pPr>
      <w:r w:rsidRPr="009E3E75">
        <w:rPr>
          <w:rStyle w:val="Hipervnculo"/>
          <w:rFonts w:asciiTheme="minorHAnsi" w:hAnsiTheme="minorHAnsi" w:cstheme="minorHAnsi"/>
          <w:color w:val="FF0000"/>
          <w:sz w:val="24"/>
          <w:szCs w:val="24"/>
          <w:u w:val="none"/>
        </w:rPr>
        <w:t>ahsuaemex37@gmail.com</w:t>
      </w:r>
    </w:p>
    <w:p w14:paraId="0327DC0D" w14:textId="45A640F7" w:rsidR="004A7F40" w:rsidRPr="00C937E7" w:rsidRDefault="004A7F40" w:rsidP="009E3E75">
      <w:pPr>
        <w:pStyle w:val="HTMLconformatoprevio"/>
        <w:spacing w:line="276" w:lineRule="auto"/>
        <w:jc w:val="right"/>
        <w:rPr>
          <w:rStyle w:val="Hipervnculo"/>
          <w:rFonts w:ascii="Times New Roman" w:hAnsi="Times New Roman" w:cs="Times New Roman"/>
          <w:sz w:val="24"/>
          <w:szCs w:val="24"/>
        </w:rPr>
      </w:pPr>
      <w:r w:rsidRPr="009E3E75">
        <w:rPr>
          <w:rFonts w:ascii="Times New Roman" w:hAnsi="Times New Roman" w:cs="Times New Roman"/>
          <w:sz w:val="24"/>
          <w:szCs w:val="24"/>
        </w:rPr>
        <w:t>https://orcid.org/0000-0003-3958-5272</w:t>
      </w:r>
    </w:p>
    <w:p w14:paraId="2759E78C" w14:textId="0E185196" w:rsidR="004A7F40" w:rsidRPr="00C937E7" w:rsidRDefault="004A7F40" w:rsidP="004A7F40">
      <w:pPr>
        <w:pStyle w:val="HTMLconformatoprevio"/>
        <w:spacing w:line="360" w:lineRule="auto"/>
        <w:jc w:val="right"/>
        <w:rPr>
          <w:rFonts w:ascii="Times New Roman" w:hAnsi="Times New Roman" w:cs="Times New Roman"/>
          <w:sz w:val="24"/>
          <w:szCs w:val="24"/>
        </w:rPr>
      </w:pPr>
    </w:p>
    <w:p w14:paraId="720C69AB" w14:textId="3E75A64C" w:rsidR="0068056E" w:rsidRPr="009E3E75" w:rsidRDefault="00E33CE4" w:rsidP="009E3E75">
      <w:pPr>
        <w:autoSpaceDE w:val="0"/>
        <w:autoSpaceDN w:val="0"/>
        <w:adjustRightInd w:val="0"/>
        <w:spacing w:line="360" w:lineRule="auto"/>
        <w:rPr>
          <w:rFonts w:asciiTheme="minorHAnsi" w:hAnsiTheme="minorHAnsi" w:cstheme="minorHAnsi"/>
          <w:b/>
          <w:color w:val="000000"/>
          <w:sz w:val="28"/>
          <w:szCs w:val="28"/>
        </w:rPr>
      </w:pPr>
      <w:r w:rsidRPr="009E3E75">
        <w:rPr>
          <w:rFonts w:asciiTheme="minorHAnsi" w:hAnsiTheme="minorHAnsi" w:cstheme="minorHAnsi"/>
          <w:b/>
          <w:color w:val="000000"/>
          <w:sz w:val="28"/>
          <w:szCs w:val="28"/>
        </w:rPr>
        <w:t>Resumen</w:t>
      </w:r>
    </w:p>
    <w:p w14:paraId="77E1C498" w14:textId="6A1F687F" w:rsidR="000806F0" w:rsidRPr="000806F0" w:rsidRDefault="000806F0" w:rsidP="000806F0">
      <w:pPr>
        <w:autoSpaceDE w:val="0"/>
        <w:autoSpaceDN w:val="0"/>
        <w:adjustRightInd w:val="0"/>
        <w:spacing w:line="360" w:lineRule="auto"/>
        <w:jc w:val="both"/>
        <w:rPr>
          <w:color w:val="000000"/>
        </w:rPr>
      </w:pPr>
      <w:bookmarkStart w:id="0" w:name="_Hlk80390848"/>
      <w:r w:rsidRPr="000806F0">
        <w:rPr>
          <w:color w:val="000000"/>
        </w:rPr>
        <w:t>Las condiciones y necesidades que demandan quienes desean realizar estudios a nivel posgrado ha cambiado, por lo que es imperioso encontrar modalidades educativas que faciliten el proceso de aprendizaje, permitan flexibilidad de tiempo y espacio, para lo cual las modalidades no escolarizadas es una opción real. Para ello, se realizó un análisis el uso y aplicación de las tecnologías de información y comunicación de una Institución de Educación Superior Pública, con base en los indicadores de calidad nacionales del P</w:t>
      </w:r>
      <w:r w:rsidR="00A300B0">
        <w:rPr>
          <w:color w:val="000000"/>
        </w:rPr>
        <w:t xml:space="preserve">rograma </w:t>
      </w:r>
      <w:r w:rsidRPr="000806F0">
        <w:rPr>
          <w:color w:val="000000"/>
        </w:rPr>
        <w:t>N</w:t>
      </w:r>
      <w:r w:rsidR="00A300B0">
        <w:rPr>
          <w:color w:val="000000"/>
        </w:rPr>
        <w:t xml:space="preserve">acional de </w:t>
      </w:r>
      <w:r w:rsidRPr="000806F0">
        <w:rPr>
          <w:color w:val="000000"/>
        </w:rPr>
        <w:t>P</w:t>
      </w:r>
      <w:r w:rsidR="00A300B0">
        <w:rPr>
          <w:color w:val="000000"/>
        </w:rPr>
        <w:t xml:space="preserve">osgrados de </w:t>
      </w:r>
      <w:r w:rsidRPr="000806F0">
        <w:rPr>
          <w:color w:val="000000"/>
        </w:rPr>
        <w:t>C</w:t>
      </w:r>
      <w:r w:rsidR="00A300B0">
        <w:rPr>
          <w:color w:val="000000"/>
        </w:rPr>
        <w:t>alidad</w:t>
      </w:r>
      <w:r w:rsidRPr="000806F0">
        <w:rPr>
          <w:color w:val="000000"/>
        </w:rPr>
        <w:t xml:space="preserve"> del C</w:t>
      </w:r>
      <w:r w:rsidR="00A300B0">
        <w:rPr>
          <w:color w:val="000000"/>
        </w:rPr>
        <w:t xml:space="preserve">onsejo </w:t>
      </w:r>
      <w:r w:rsidRPr="000806F0">
        <w:rPr>
          <w:color w:val="000000"/>
        </w:rPr>
        <w:t>N</w:t>
      </w:r>
      <w:r w:rsidR="00A300B0">
        <w:rPr>
          <w:color w:val="000000"/>
        </w:rPr>
        <w:t xml:space="preserve">acional de Ciencia y Tecnología </w:t>
      </w:r>
      <w:r w:rsidRPr="000806F0">
        <w:rPr>
          <w:color w:val="000000"/>
        </w:rPr>
        <w:t>y de la A</w:t>
      </w:r>
      <w:r w:rsidR="00A300B0">
        <w:rPr>
          <w:color w:val="000000"/>
        </w:rPr>
        <w:t xml:space="preserve">sociación </w:t>
      </w:r>
      <w:r w:rsidRPr="000806F0">
        <w:rPr>
          <w:color w:val="000000"/>
        </w:rPr>
        <w:t>N</w:t>
      </w:r>
      <w:r w:rsidR="00A300B0">
        <w:rPr>
          <w:color w:val="000000"/>
        </w:rPr>
        <w:t xml:space="preserve">acional de </w:t>
      </w:r>
      <w:r w:rsidRPr="000806F0">
        <w:rPr>
          <w:color w:val="000000"/>
        </w:rPr>
        <w:t>U</w:t>
      </w:r>
      <w:r w:rsidR="00A300B0">
        <w:rPr>
          <w:color w:val="000000"/>
        </w:rPr>
        <w:t xml:space="preserve">niversidades e </w:t>
      </w:r>
      <w:r w:rsidRPr="000806F0">
        <w:rPr>
          <w:color w:val="000000"/>
        </w:rPr>
        <w:t>I</w:t>
      </w:r>
      <w:r w:rsidR="00A300B0">
        <w:rPr>
          <w:color w:val="000000"/>
        </w:rPr>
        <w:t xml:space="preserve">nstituciones de </w:t>
      </w:r>
      <w:r w:rsidRPr="000806F0">
        <w:rPr>
          <w:color w:val="000000"/>
        </w:rPr>
        <w:t>E</w:t>
      </w:r>
      <w:r w:rsidR="00A300B0">
        <w:rPr>
          <w:color w:val="000000"/>
        </w:rPr>
        <w:t xml:space="preserve">ducación </w:t>
      </w:r>
      <w:r w:rsidRPr="000806F0">
        <w:rPr>
          <w:color w:val="000000"/>
        </w:rPr>
        <w:t>S</w:t>
      </w:r>
      <w:r w:rsidR="00A300B0">
        <w:rPr>
          <w:color w:val="000000"/>
        </w:rPr>
        <w:t>uperior</w:t>
      </w:r>
      <w:r w:rsidRPr="000806F0">
        <w:rPr>
          <w:color w:val="000000"/>
        </w:rPr>
        <w:t xml:space="preserve">, como estrategia en la implementación de estudios de posgrado en modalidades no escolarizadas. Posteriormente, se aplicó una encuesta con una respuesta de 22 cuestionarios de 6 organismos académicos que permitieron determinar el grado de aprovechamiento del conocimiento por parte de los </w:t>
      </w:r>
      <w:r w:rsidRPr="000806F0">
        <w:rPr>
          <w:color w:val="000000"/>
        </w:rPr>
        <w:lastRenderedPageBreak/>
        <w:t>académicos en el nivel de posgrado, acerca de los indicadores de calidad para programas de posgrado.</w:t>
      </w:r>
    </w:p>
    <w:p w14:paraId="2B3FF2F5" w14:textId="63FD4F33" w:rsidR="000806F0" w:rsidRPr="000806F0" w:rsidRDefault="000806F0" w:rsidP="000806F0">
      <w:pPr>
        <w:autoSpaceDE w:val="0"/>
        <w:autoSpaceDN w:val="0"/>
        <w:adjustRightInd w:val="0"/>
        <w:spacing w:line="360" w:lineRule="auto"/>
        <w:jc w:val="both"/>
        <w:rPr>
          <w:color w:val="000000"/>
        </w:rPr>
      </w:pPr>
      <w:r w:rsidRPr="000806F0">
        <w:rPr>
          <w:color w:val="000000"/>
        </w:rPr>
        <w:t>Con base en la información y resultados obtenidos, la investigación proporcionó hallazgos que muestran qué nivel de conocimiento de los indicadores nacionales, producción de guiones y materiales por parte de los docentes y el uso de diversos materiales de apoyo, productos de aprendizaje, exploración de otras tecnologías educativas y técnicas didácticas.</w:t>
      </w:r>
    </w:p>
    <w:p w14:paraId="4F585EAB" w14:textId="4EC57B77" w:rsidR="000806F0" w:rsidRPr="000806F0" w:rsidRDefault="000806F0" w:rsidP="000806F0">
      <w:pPr>
        <w:autoSpaceDE w:val="0"/>
        <w:autoSpaceDN w:val="0"/>
        <w:adjustRightInd w:val="0"/>
        <w:spacing w:line="360" w:lineRule="auto"/>
        <w:jc w:val="both"/>
        <w:rPr>
          <w:color w:val="000000"/>
        </w:rPr>
      </w:pPr>
      <w:r w:rsidRPr="000806F0">
        <w:rPr>
          <w:color w:val="000000"/>
        </w:rPr>
        <w:t>Finalmente se concluyó que, a pesar de conocer los indicadores nacionales de calidad para las modalidades no escolarizadas en los posgrados, la implementación de éstos estudios es baja.</w:t>
      </w:r>
    </w:p>
    <w:bookmarkEnd w:id="0"/>
    <w:p w14:paraId="0F2714C2" w14:textId="459325BC" w:rsidR="000806F0" w:rsidRPr="00552EB9" w:rsidRDefault="00231DEC" w:rsidP="000940EF">
      <w:pPr>
        <w:autoSpaceDE w:val="0"/>
        <w:autoSpaceDN w:val="0"/>
        <w:adjustRightInd w:val="0"/>
        <w:spacing w:line="360" w:lineRule="auto"/>
        <w:jc w:val="both"/>
        <w:rPr>
          <w:i/>
          <w:iCs/>
          <w:color w:val="000000"/>
        </w:rPr>
      </w:pPr>
      <w:r w:rsidRPr="009E3E75">
        <w:rPr>
          <w:rFonts w:asciiTheme="minorHAnsi" w:hAnsiTheme="minorHAnsi" w:cstheme="minorHAnsi"/>
          <w:b/>
          <w:color w:val="000000"/>
          <w:sz w:val="28"/>
          <w:szCs w:val="28"/>
        </w:rPr>
        <w:t>Palabras clave:</w:t>
      </w:r>
      <w:r w:rsidRPr="00552EB9">
        <w:rPr>
          <w:color w:val="000000"/>
        </w:rPr>
        <w:t xml:space="preserve"> </w:t>
      </w:r>
      <w:r w:rsidR="003E329E" w:rsidRPr="009E3E75">
        <w:rPr>
          <w:color w:val="000000"/>
        </w:rPr>
        <w:t>P</w:t>
      </w:r>
      <w:r w:rsidR="000806F0" w:rsidRPr="009E3E75">
        <w:rPr>
          <w:color w:val="000000"/>
        </w:rPr>
        <w:t>osgrados no escolarizados, tecnologías de información y comunicación, indicadores de calidad.</w:t>
      </w:r>
    </w:p>
    <w:p w14:paraId="38032CC0" w14:textId="77777777" w:rsidR="000940EF" w:rsidRPr="00552EB9" w:rsidRDefault="000940EF" w:rsidP="009E3E75">
      <w:pPr>
        <w:pStyle w:val="Sinespaciado"/>
        <w:spacing w:line="360" w:lineRule="auto"/>
        <w:rPr>
          <w:rFonts w:ascii="Times New Roman" w:hAnsi="Times New Roman" w:cs="Times New Roman"/>
          <w:b/>
          <w:sz w:val="24"/>
          <w:szCs w:val="24"/>
        </w:rPr>
      </w:pPr>
    </w:p>
    <w:p w14:paraId="03CED5AE" w14:textId="32CADBAD" w:rsidR="000D2313" w:rsidRPr="0016089B" w:rsidRDefault="000D2313" w:rsidP="009E3E75">
      <w:pPr>
        <w:autoSpaceDE w:val="0"/>
        <w:autoSpaceDN w:val="0"/>
        <w:adjustRightInd w:val="0"/>
        <w:spacing w:line="360" w:lineRule="auto"/>
        <w:rPr>
          <w:rFonts w:asciiTheme="minorHAnsi" w:hAnsiTheme="minorHAnsi" w:cstheme="minorHAnsi"/>
          <w:b/>
          <w:color w:val="000000"/>
          <w:sz w:val="28"/>
          <w:szCs w:val="28"/>
          <w:lang w:val="en-US"/>
        </w:rPr>
      </w:pPr>
      <w:r w:rsidRPr="0016089B">
        <w:rPr>
          <w:rFonts w:asciiTheme="minorHAnsi" w:hAnsiTheme="minorHAnsi" w:cstheme="minorHAnsi"/>
          <w:b/>
          <w:color w:val="000000"/>
          <w:sz w:val="28"/>
          <w:szCs w:val="28"/>
          <w:lang w:val="en-US"/>
        </w:rPr>
        <w:t>Abstract</w:t>
      </w:r>
    </w:p>
    <w:p w14:paraId="20905BB7" w14:textId="77777777" w:rsidR="00A11749" w:rsidRPr="00263C4C" w:rsidRDefault="00A11749" w:rsidP="00A11749">
      <w:pPr>
        <w:autoSpaceDE w:val="0"/>
        <w:autoSpaceDN w:val="0"/>
        <w:adjustRightInd w:val="0"/>
        <w:spacing w:line="360" w:lineRule="auto"/>
        <w:jc w:val="both"/>
        <w:rPr>
          <w:color w:val="000000"/>
          <w:lang w:val="en-US"/>
        </w:rPr>
      </w:pPr>
      <w:r w:rsidRPr="00263C4C">
        <w:rPr>
          <w:color w:val="000000"/>
          <w:lang w:val="en-US"/>
        </w:rPr>
        <w:t xml:space="preserve">The conditions and needs demanded by those who wish to study at the postgraduate level have changed, so it is imperative to find educational modalities that facilitate the learning process, allow flexibility of time and space, for which non-school modalities are a real option. For this, an analysis was carried out on the use and application of information and communication technologies of a Public Higher Education Institution, based on the national quality indicators of the National Quality Postgraduate Program of the National Council of Science and Technology and the National Association of Universities and Institutions of Higher Education, as a strategy in the implementation of postgraduate studies in non-school modalities. Subsequently, a survey was applied with a response of 22 questionnaires from 6 academic organisms that allowed to determine the degree of use of knowledge by academics at the postgraduate level, about the quality indicators for postgraduate programs. </w:t>
      </w:r>
    </w:p>
    <w:p w14:paraId="083CBE45" w14:textId="77777777" w:rsidR="000806F0" w:rsidRPr="00B96CAD" w:rsidRDefault="000806F0" w:rsidP="000806F0">
      <w:pPr>
        <w:autoSpaceDE w:val="0"/>
        <w:autoSpaceDN w:val="0"/>
        <w:adjustRightInd w:val="0"/>
        <w:spacing w:line="360" w:lineRule="auto"/>
        <w:jc w:val="both"/>
        <w:rPr>
          <w:color w:val="000000"/>
          <w:lang w:val="en-US"/>
        </w:rPr>
      </w:pPr>
      <w:r w:rsidRPr="00263C4C">
        <w:rPr>
          <w:color w:val="000000"/>
          <w:lang w:val="en-US"/>
        </w:rPr>
        <w:t>Based on the information and results obtained, the research provided findings that show what</w:t>
      </w:r>
      <w:r w:rsidRPr="00B96CAD">
        <w:rPr>
          <w:color w:val="000000"/>
          <w:lang w:val="en-US"/>
        </w:rPr>
        <w:t xml:space="preserve"> level of knowledge of national indicators, production of scripts and materials by teachers and the use of various support materials, learning products, exploration of other educational technologies and teaching techniques.</w:t>
      </w:r>
    </w:p>
    <w:p w14:paraId="1D5C1198" w14:textId="77777777" w:rsidR="000806F0" w:rsidRPr="00B96CAD" w:rsidRDefault="000806F0" w:rsidP="000806F0">
      <w:pPr>
        <w:autoSpaceDE w:val="0"/>
        <w:autoSpaceDN w:val="0"/>
        <w:adjustRightInd w:val="0"/>
        <w:spacing w:line="360" w:lineRule="auto"/>
        <w:jc w:val="both"/>
        <w:rPr>
          <w:color w:val="000000"/>
          <w:lang w:val="en-US"/>
        </w:rPr>
      </w:pPr>
      <w:r w:rsidRPr="00B96CAD">
        <w:rPr>
          <w:color w:val="000000"/>
          <w:lang w:val="en-US"/>
        </w:rPr>
        <w:t>Finally, it was concluded that despite knowing the national quality indicators for non-school modalities in postgraduate courses, the implementation of these studies is low.</w:t>
      </w:r>
    </w:p>
    <w:p w14:paraId="4F7D1698" w14:textId="2425482A" w:rsidR="00D40C6B" w:rsidRDefault="000D2313" w:rsidP="00552EB9">
      <w:pPr>
        <w:autoSpaceDE w:val="0"/>
        <w:autoSpaceDN w:val="0"/>
        <w:adjustRightInd w:val="0"/>
        <w:spacing w:line="360" w:lineRule="auto"/>
        <w:jc w:val="both"/>
        <w:rPr>
          <w:i/>
          <w:iCs/>
          <w:color w:val="000000"/>
          <w:lang w:val="en-US"/>
        </w:rPr>
      </w:pPr>
      <w:r w:rsidRPr="0016089B">
        <w:rPr>
          <w:rFonts w:asciiTheme="minorHAnsi" w:hAnsiTheme="minorHAnsi" w:cstheme="minorHAnsi"/>
          <w:b/>
          <w:color w:val="000000"/>
          <w:sz w:val="28"/>
          <w:szCs w:val="28"/>
          <w:lang w:val="en-US"/>
        </w:rPr>
        <w:t>Keywords:</w:t>
      </w:r>
      <w:r w:rsidRPr="00552EB9">
        <w:rPr>
          <w:color w:val="000000"/>
          <w:lang w:val="en-US"/>
        </w:rPr>
        <w:t xml:space="preserve"> </w:t>
      </w:r>
      <w:r w:rsidR="00D40C6B" w:rsidRPr="009E3E75">
        <w:rPr>
          <w:color w:val="000000"/>
          <w:lang w:val="en-US"/>
        </w:rPr>
        <w:t>out-of-school graduate programs, information and communication technologies, quality indicators.</w:t>
      </w:r>
    </w:p>
    <w:p w14:paraId="454E4AB3" w14:textId="67948DE4" w:rsidR="009E3E75" w:rsidRDefault="009E3E75" w:rsidP="00552EB9">
      <w:pPr>
        <w:autoSpaceDE w:val="0"/>
        <w:autoSpaceDN w:val="0"/>
        <w:adjustRightInd w:val="0"/>
        <w:spacing w:line="360" w:lineRule="auto"/>
        <w:jc w:val="both"/>
        <w:rPr>
          <w:i/>
          <w:iCs/>
          <w:color w:val="000000"/>
          <w:lang w:val="en-US"/>
        </w:rPr>
      </w:pPr>
    </w:p>
    <w:p w14:paraId="49144E00" w14:textId="5E6A9F9D" w:rsidR="009E3E75" w:rsidRPr="009E3E75" w:rsidRDefault="009E3E75" w:rsidP="00552EB9">
      <w:pPr>
        <w:autoSpaceDE w:val="0"/>
        <w:autoSpaceDN w:val="0"/>
        <w:adjustRightInd w:val="0"/>
        <w:spacing w:line="360" w:lineRule="auto"/>
        <w:jc w:val="both"/>
        <w:rPr>
          <w:rFonts w:asciiTheme="minorHAnsi" w:hAnsiTheme="minorHAnsi" w:cstheme="minorHAnsi"/>
          <w:b/>
          <w:color w:val="000000"/>
          <w:sz w:val="28"/>
          <w:szCs w:val="28"/>
        </w:rPr>
      </w:pPr>
      <w:r w:rsidRPr="009E3E75">
        <w:rPr>
          <w:rFonts w:asciiTheme="minorHAnsi" w:hAnsiTheme="minorHAnsi" w:cstheme="minorHAnsi"/>
          <w:b/>
          <w:color w:val="000000"/>
          <w:sz w:val="28"/>
          <w:szCs w:val="28"/>
        </w:rPr>
        <w:lastRenderedPageBreak/>
        <w:t>Resumo</w:t>
      </w:r>
    </w:p>
    <w:p w14:paraId="3C702570" w14:textId="77777777" w:rsidR="009E3E75" w:rsidRPr="009E3E75" w:rsidRDefault="009E3E75" w:rsidP="009E3E75">
      <w:pPr>
        <w:autoSpaceDE w:val="0"/>
        <w:autoSpaceDN w:val="0"/>
        <w:adjustRightInd w:val="0"/>
        <w:spacing w:line="360" w:lineRule="auto"/>
        <w:jc w:val="both"/>
        <w:rPr>
          <w:color w:val="000000"/>
        </w:rPr>
      </w:pPr>
      <w:r w:rsidRPr="009E3E75">
        <w:rPr>
          <w:color w:val="000000"/>
        </w:rPr>
        <w:t>As condições e necessidades exigidas por quem deseja estudar na pós-graduação mudaram, por isso é imprescindível encontrar modalidades educacionais que facilitem o processo de aprendizagem, possibilitem flexibilidade de tempo e espaço, para as quais as modalidades não escolares são uma opção real. Para tal, procedeu-se a uma análise da utilização e aplicação das tecnologias de informação e comunicação de uma Instituição de Ensino Superior Pública, com base nos indicadores nacionais de qualidade do Programa Nacional de Pós-Graduação em Qualidade do Conselho Nacional de Ciência e Tecnologia e da Associação Nacional de Universidades e Instituições de Ensino Superior, como estratégia na implementação da pós-graduação em modalidades não escolares. Posteriormente, foi aplicado um survey com a resposta de 22 questionários de 6 organismos acadêmicos que permitiram determinar o grau de utilização do conhecimento por acadêmicos em nível de pós-graduação sobre os indicadores de qualidade para programas de pós-graduação.</w:t>
      </w:r>
    </w:p>
    <w:p w14:paraId="3559061E" w14:textId="77777777" w:rsidR="009E3E75" w:rsidRPr="009E3E75" w:rsidRDefault="009E3E75" w:rsidP="009E3E75">
      <w:pPr>
        <w:autoSpaceDE w:val="0"/>
        <w:autoSpaceDN w:val="0"/>
        <w:adjustRightInd w:val="0"/>
        <w:spacing w:line="360" w:lineRule="auto"/>
        <w:jc w:val="both"/>
        <w:rPr>
          <w:color w:val="000000"/>
        </w:rPr>
      </w:pPr>
      <w:r w:rsidRPr="009E3E75">
        <w:rPr>
          <w:color w:val="000000"/>
        </w:rPr>
        <w:t>Com base nas informações e resultados obtidos, a pesquisa forneceu constatações que mostram o nível de conhecimento dos indicadores nacionais, a produção de roteiros e materiais pelos professores e a utilização de diversos materiais de apoio, produtos de aprendizagem, exploração de outras tecnologias educacionais e técnicas de ensino.</w:t>
      </w:r>
    </w:p>
    <w:p w14:paraId="334C6ADE" w14:textId="77777777" w:rsidR="009E3E75" w:rsidRPr="009E3E75" w:rsidRDefault="009E3E75" w:rsidP="009E3E75">
      <w:pPr>
        <w:autoSpaceDE w:val="0"/>
        <w:autoSpaceDN w:val="0"/>
        <w:adjustRightInd w:val="0"/>
        <w:spacing w:line="360" w:lineRule="auto"/>
        <w:jc w:val="both"/>
        <w:rPr>
          <w:color w:val="000000"/>
        </w:rPr>
      </w:pPr>
      <w:r w:rsidRPr="009E3E75">
        <w:rPr>
          <w:color w:val="000000"/>
        </w:rPr>
        <w:t>Por fim, concluiu-se que, apesar de conhecer os indicadores nacionais de qualidade para modalidades não escolarizadas nos cursos de pós-graduação, a implantação desses estudos é baixa.</w:t>
      </w:r>
    </w:p>
    <w:p w14:paraId="32A04E8A" w14:textId="161500F2" w:rsidR="00F41D3E" w:rsidRDefault="009E3E75" w:rsidP="009E3E75">
      <w:pPr>
        <w:autoSpaceDE w:val="0"/>
        <w:autoSpaceDN w:val="0"/>
        <w:adjustRightInd w:val="0"/>
        <w:spacing w:line="360" w:lineRule="auto"/>
        <w:jc w:val="both"/>
        <w:rPr>
          <w:color w:val="000000"/>
        </w:rPr>
      </w:pPr>
      <w:r w:rsidRPr="009E3E75">
        <w:rPr>
          <w:rFonts w:asciiTheme="minorHAnsi" w:hAnsiTheme="minorHAnsi" w:cstheme="minorHAnsi"/>
          <w:b/>
          <w:color w:val="000000"/>
          <w:sz w:val="28"/>
          <w:szCs w:val="28"/>
        </w:rPr>
        <w:t>Palavras-chave:</w:t>
      </w:r>
      <w:r w:rsidRPr="009E3E75">
        <w:rPr>
          <w:i/>
          <w:iCs/>
          <w:color w:val="000000"/>
        </w:rPr>
        <w:t xml:space="preserve"> </w:t>
      </w:r>
      <w:r w:rsidRPr="009E3E75">
        <w:rPr>
          <w:color w:val="000000"/>
        </w:rPr>
        <w:t>Pós-graduação não escolar, tecnologias da informação e comunicação, indicadores de qualidade.</w:t>
      </w:r>
    </w:p>
    <w:p w14:paraId="6A3C9FFF" w14:textId="77777777" w:rsidR="009E3E75" w:rsidRPr="00DA1643" w:rsidRDefault="009E3E75" w:rsidP="009E3E75">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2021</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w:t>
      </w:r>
      <w:r w:rsidRPr="00DA1643">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1</w:t>
      </w:r>
    </w:p>
    <w:p w14:paraId="3ED1F9DD" w14:textId="32D2EF46" w:rsidR="009E3E75" w:rsidRPr="009E3E75" w:rsidRDefault="00B4422D" w:rsidP="009E3E75">
      <w:pPr>
        <w:autoSpaceDE w:val="0"/>
        <w:autoSpaceDN w:val="0"/>
        <w:adjustRightInd w:val="0"/>
        <w:spacing w:line="360" w:lineRule="auto"/>
        <w:jc w:val="both"/>
        <w:rPr>
          <w:i/>
          <w:iCs/>
          <w:color w:val="000000"/>
        </w:rPr>
      </w:pPr>
      <w:r>
        <w:rPr>
          <w:noProof/>
        </w:rPr>
        <w:pict w14:anchorId="1694EC5E">
          <v:rect id="_x0000_i1025" alt="" style="width:441.9pt;height:.05pt;mso-width-percent:0;mso-height-percent:0;mso-width-percent:0;mso-height-percent:0" o:hralign="center" o:hrstd="t" o:hr="t" fillcolor="#a0a0a0" stroked="f"/>
        </w:pict>
      </w:r>
    </w:p>
    <w:p w14:paraId="682BBAF5" w14:textId="0A26E53A" w:rsidR="00530049" w:rsidRPr="000761E6" w:rsidRDefault="00FA1CFA" w:rsidP="009E3E75">
      <w:pPr>
        <w:autoSpaceDE w:val="0"/>
        <w:autoSpaceDN w:val="0"/>
        <w:adjustRightInd w:val="0"/>
        <w:spacing w:line="360" w:lineRule="auto"/>
        <w:jc w:val="center"/>
        <w:rPr>
          <w:b/>
          <w:color w:val="000000"/>
          <w:sz w:val="32"/>
          <w:szCs w:val="32"/>
          <w:lang w:eastAsia="es-ES_tradnl"/>
        </w:rPr>
      </w:pPr>
      <w:r>
        <w:rPr>
          <w:b/>
          <w:color w:val="000000"/>
          <w:sz w:val="32"/>
          <w:szCs w:val="32"/>
          <w:lang w:eastAsia="es-ES_tradnl"/>
        </w:rPr>
        <w:t>I</w:t>
      </w:r>
      <w:r w:rsidR="00530049" w:rsidRPr="000761E6">
        <w:rPr>
          <w:b/>
          <w:color w:val="000000"/>
          <w:sz w:val="32"/>
          <w:szCs w:val="32"/>
          <w:lang w:eastAsia="es-ES_tradnl"/>
        </w:rPr>
        <w:t>ntroducción</w:t>
      </w:r>
    </w:p>
    <w:p w14:paraId="0AC0E690" w14:textId="77777777" w:rsidR="0073095C" w:rsidRDefault="006C71F1" w:rsidP="009E3E75">
      <w:pPr>
        <w:autoSpaceDE w:val="0"/>
        <w:autoSpaceDN w:val="0"/>
        <w:adjustRightInd w:val="0"/>
        <w:spacing w:line="360" w:lineRule="auto"/>
        <w:ind w:firstLine="708"/>
        <w:jc w:val="both"/>
        <w:rPr>
          <w:color w:val="000000"/>
          <w:lang w:eastAsia="es-ES_tradnl"/>
        </w:rPr>
      </w:pPr>
      <w:r w:rsidRPr="00530049">
        <w:rPr>
          <w:color w:val="000000"/>
          <w:lang w:eastAsia="es-ES_tradnl"/>
        </w:rPr>
        <w:t xml:space="preserve"> </w:t>
      </w:r>
      <w:r w:rsidR="000806F0" w:rsidRPr="000806F0">
        <w:rPr>
          <w:color w:val="000000"/>
          <w:lang w:eastAsia="es-ES_tradnl"/>
        </w:rPr>
        <w:t>“Una de las ambiciones y necesidades del ser humano es la adquisición de conocimientos, es decir asimilar aquella información que le permita resolver problemas y tomar decisiones, este conocimiento le posibilitará para desarrollarse con más plenitud como persona, ejercitar las capacidades humanas, disfrutar del saber y dar sentido a la vida” (García, 2009).</w:t>
      </w:r>
    </w:p>
    <w:p w14:paraId="607722D4" w14:textId="77777777" w:rsidR="00D2572F" w:rsidRDefault="0073095C" w:rsidP="009E3E75">
      <w:pPr>
        <w:autoSpaceDE w:val="0"/>
        <w:autoSpaceDN w:val="0"/>
        <w:adjustRightInd w:val="0"/>
        <w:spacing w:line="360" w:lineRule="auto"/>
        <w:ind w:firstLine="708"/>
        <w:jc w:val="both"/>
        <w:rPr>
          <w:color w:val="000000"/>
          <w:lang w:eastAsia="es-ES_tradnl"/>
        </w:rPr>
      </w:pPr>
      <w:r w:rsidRPr="0073095C">
        <w:rPr>
          <w:color w:val="000000"/>
          <w:lang w:eastAsia="es-ES_tradnl"/>
        </w:rPr>
        <w:t xml:space="preserve">Tradicionalmente, para adquirir conocimientos las personas buscan en las instituciones educativas los programas de estudios que les permitan desarrollar las </w:t>
      </w:r>
      <w:r w:rsidRPr="0073095C">
        <w:rPr>
          <w:color w:val="000000"/>
          <w:lang w:eastAsia="es-ES_tradnl"/>
        </w:rPr>
        <w:lastRenderedPageBreak/>
        <w:t xml:space="preserve">competencias necesarias para afrontar y solucionar conflictos, analizar alternativas y </w:t>
      </w:r>
      <w:bookmarkStart w:id="1" w:name="_Hlk80394763"/>
      <w:r w:rsidRPr="0073095C">
        <w:rPr>
          <w:color w:val="000000"/>
          <w:lang w:eastAsia="es-ES_tradnl"/>
        </w:rPr>
        <w:t>evaluar procesos</w:t>
      </w:r>
      <w:bookmarkEnd w:id="1"/>
      <w:r w:rsidRPr="0073095C">
        <w:rPr>
          <w:color w:val="000000"/>
          <w:lang w:eastAsia="es-ES_tradnl"/>
        </w:rPr>
        <w:t>.</w:t>
      </w:r>
    </w:p>
    <w:p w14:paraId="4820DD71" w14:textId="29EC11E4" w:rsidR="00D2572F" w:rsidRPr="00667654" w:rsidRDefault="00D2572F" w:rsidP="009E3E75">
      <w:pPr>
        <w:autoSpaceDE w:val="0"/>
        <w:autoSpaceDN w:val="0"/>
        <w:adjustRightInd w:val="0"/>
        <w:spacing w:line="360" w:lineRule="auto"/>
        <w:ind w:firstLine="708"/>
        <w:jc w:val="both"/>
        <w:rPr>
          <w:color w:val="000000"/>
          <w:lang w:eastAsia="es-ES_tradnl"/>
        </w:rPr>
      </w:pPr>
      <w:r>
        <w:rPr>
          <w:color w:val="000000"/>
          <w:lang w:eastAsia="es-ES_tradnl"/>
        </w:rPr>
        <w:t xml:space="preserve">La oferta de </w:t>
      </w:r>
      <w:r w:rsidRPr="00667654">
        <w:rPr>
          <w:color w:val="000000"/>
          <w:lang w:eastAsia="es-ES_tradnl"/>
        </w:rPr>
        <w:t xml:space="preserve">estudios de posgrado </w:t>
      </w:r>
      <w:r>
        <w:rPr>
          <w:color w:val="000000"/>
          <w:lang w:eastAsia="es-ES_tradnl"/>
        </w:rPr>
        <w:t xml:space="preserve">ha sido una opción para el estudiante que aspira a </w:t>
      </w:r>
      <w:r w:rsidRPr="00667654">
        <w:rPr>
          <w:color w:val="000000"/>
          <w:lang w:eastAsia="es-ES_tradnl"/>
        </w:rPr>
        <w:t>mejora</w:t>
      </w:r>
      <w:r>
        <w:rPr>
          <w:color w:val="000000"/>
          <w:lang w:eastAsia="es-ES_tradnl"/>
        </w:rPr>
        <w:t>r</w:t>
      </w:r>
      <w:r w:rsidRPr="00667654">
        <w:rPr>
          <w:color w:val="000000"/>
          <w:lang w:eastAsia="es-ES_tradnl"/>
        </w:rPr>
        <w:t xml:space="preserve"> su preparación</w:t>
      </w:r>
      <w:r>
        <w:rPr>
          <w:color w:val="000000"/>
          <w:lang w:eastAsia="es-ES_tradnl"/>
        </w:rPr>
        <w:t xml:space="preserve"> mediante la </w:t>
      </w:r>
      <w:r w:rsidRPr="00667654">
        <w:rPr>
          <w:color w:val="000000"/>
          <w:lang w:eastAsia="es-ES_tradnl"/>
        </w:rPr>
        <w:t>actualización</w:t>
      </w:r>
      <w:r>
        <w:rPr>
          <w:color w:val="000000"/>
          <w:lang w:eastAsia="es-ES_tradnl"/>
        </w:rPr>
        <w:t xml:space="preserve"> y la </w:t>
      </w:r>
      <w:r w:rsidRPr="00667654">
        <w:rPr>
          <w:color w:val="000000"/>
          <w:lang w:eastAsia="es-ES_tradnl"/>
        </w:rPr>
        <w:t>especializa</w:t>
      </w:r>
      <w:r>
        <w:rPr>
          <w:color w:val="000000"/>
          <w:lang w:eastAsia="es-ES_tradnl"/>
        </w:rPr>
        <w:t xml:space="preserve">ción, lo que le ha permitido </w:t>
      </w:r>
      <w:r w:rsidRPr="00667654">
        <w:rPr>
          <w:color w:val="000000"/>
          <w:lang w:eastAsia="es-ES_tradnl"/>
        </w:rPr>
        <w:t>competir por mejores cargos en su entorno laboral. P</w:t>
      </w:r>
      <w:r>
        <w:rPr>
          <w:color w:val="000000"/>
          <w:lang w:eastAsia="es-ES_tradnl"/>
        </w:rPr>
        <w:t xml:space="preserve">or su parte </w:t>
      </w:r>
      <w:r w:rsidRPr="00667654">
        <w:rPr>
          <w:color w:val="000000"/>
          <w:lang w:eastAsia="es-ES_tradnl"/>
        </w:rPr>
        <w:t xml:space="preserve">las empresas, </w:t>
      </w:r>
      <w:r>
        <w:rPr>
          <w:color w:val="000000"/>
          <w:lang w:eastAsia="es-ES_tradnl"/>
        </w:rPr>
        <w:t xml:space="preserve">han contado con </w:t>
      </w:r>
      <w:r w:rsidRPr="00667654">
        <w:rPr>
          <w:color w:val="000000"/>
          <w:lang w:eastAsia="es-ES_tradnl"/>
        </w:rPr>
        <w:t xml:space="preserve">capital humano </w:t>
      </w:r>
      <w:r>
        <w:rPr>
          <w:color w:val="000000"/>
          <w:lang w:eastAsia="es-ES_tradnl"/>
        </w:rPr>
        <w:t xml:space="preserve">cuyo </w:t>
      </w:r>
      <w:r w:rsidRPr="00667654">
        <w:rPr>
          <w:color w:val="000000"/>
          <w:lang w:eastAsia="es-ES_tradnl"/>
        </w:rPr>
        <w:t xml:space="preserve">conocimiento renovado </w:t>
      </w:r>
      <w:r>
        <w:rPr>
          <w:color w:val="000000"/>
          <w:lang w:eastAsia="es-ES_tradnl"/>
        </w:rPr>
        <w:t xml:space="preserve">ha </w:t>
      </w:r>
      <w:r w:rsidRPr="00667654">
        <w:rPr>
          <w:color w:val="000000"/>
          <w:lang w:eastAsia="es-ES_tradnl"/>
        </w:rPr>
        <w:t>genera</w:t>
      </w:r>
      <w:r>
        <w:rPr>
          <w:color w:val="000000"/>
          <w:lang w:eastAsia="es-ES_tradnl"/>
        </w:rPr>
        <w:t>do</w:t>
      </w:r>
      <w:r w:rsidRPr="00667654">
        <w:rPr>
          <w:color w:val="000000"/>
          <w:lang w:eastAsia="es-ES_tradnl"/>
        </w:rPr>
        <w:t xml:space="preserve"> mayor compromiso</w:t>
      </w:r>
      <w:r>
        <w:rPr>
          <w:color w:val="000000"/>
          <w:lang w:eastAsia="es-ES_tradnl"/>
        </w:rPr>
        <w:t>,</w:t>
      </w:r>
      <w:r w:rsidRPr="00667654">
        <w:rPr>
          <w:color w:val="000000"/>
          <w:lang w:eastAsia="es-ES_tradnl"/>
        </w:rPr>
        <w:t xml:space="preserve"> mejores resultados que </w:t>
      </w:r>
      <w:r>
        <w:rPr>
          <w:color w:val="000000"/>
          <w:lang w:eastAsia="es-ES_tradnl"/>
        </w:rPr>
        <w:t xml:space="preserve">han impactado </w:t>
      </w:r>
      <w:r w:rsidRPr="00667654">
        <w:rPr>
          <w:color w:val="000000"/>
          <w:lang w:eastAsia="es-ES_tradnl"/>
        </w:rPr>
        <w:t>en la productividad y</w:t>
      </w:r>
      <w:r>
        <w:rPr>
          <w:color w:val="000000"/>
          <w:lang w:eastAsia="es-ES_tradnl"/>
        </w:rPr>
        <w:t xml:space="preserve"> la</w:t>
      </w:r>
      <w:r w:rsidRPr="00667654">
        <w:rPr>
          <w:color w:val="000000"/>
          <w:lang w:eastAsia="es-ES_tradnl"/>
        </w:rPr>
        <w:t xml:space="preserve"> eficiencia en las tareas encomendadas</w:t>
      </w:r>
      <w:r>
        <w:rPr>
          <w:color w:val="000000"/>
          <w:lang w:eastAsia="es-ES_tradnl"/>
        </w:rPr>
        <w:t>.</w:t>
      </w:r>
    </w:p>
    <w:p w14:paraId="41225676" w14:textId="77777777" w:rsidR="00A85841" w:rsidRDefault="006A4C81" w:rsidP="009E3E75">
      <w:pPr>
        <w:autoSpaceDE w:val="0"/>
        <w:autoSpaceDN w:val="0"/>
        <w:adjustRightInd w:val="0"/>
        <w:spacing w:line="360" w:lineRule="auto"/>
        <w:ind w:firstLine="708"/>
        <w:jc w:val="both"/>
        <w:rPr>
          <w:color w:val="000000"/>
          <w:lang w:eastAsia="es-ES_tradnl"/>
        </w:rPr>
      </w:pPr>
      <w:r>
        <w:rPr>
          <w:color w:val="000000"/>
          <w:lang w:eastAsia="es-ES_tradnl"/>
        </w:rPr>
        <w:t>Es necesario resaltar que l</w:t>
      </w:r>
      <w:r w:rsidR="00D2572F" w:rsidRPr="000806F0">
        <w:rPr>
          <w:color w:val="000000"/>
          <w:lang w:eastAsia="es-ES_tradnl"/>
        </w:rPr>
        <w:t xml:space="preserve">as condiciones y necesidades que demandan quienes desean realizar estudios a nivel posgrado ha cambiado, por lo que es imperioso encontrar modalidades educativas que faciliten el proceso de aprendizaje, permitan flexibilidad de tiempo y espacio, para lo cual las modalidades no escolarizadas es una opción real. </w:t>
      </w:r>
    </w:p>
    <w:p w14:paraId="23510D3F" w14:textId="585F026C" w:rsidR="00A85841" w:rsidRDefault="00D2572F" w:rsidP="009E3E75">
      <w:pPr>
        <w:autoSpaceDE w:val="0"/>
        <w:autoSpaceDN w:val="0"/>
        <w:adjustRightInd w:val="0"/>
        <w:spacing w:line="360" w:lineRule="auto"/>
        <w:ind w:firstLine="708"/>
        <w:jc w:val="both"/>
        <w:rPr>
          <w:color w:val="000000"/>
          <w:lang w:eastAsia="es-ES_tradnl"/>
        </w:rPr>
      </w:pPr>
      <w:r w:rsidRPr="000806F0">
        <w:rPr>
          <w:color w:val="000000"/>
          <w:lang w:eastAsia="es-ES_tradnl"/>
        </w:rPr>
        <w:t xml:space="preserve">Para ello, se realizó un análisis </w:t>
      </w:r>
      <w:r w:rsidR="006A4C81">
        <w:rPr>
          <w:color w:val="000000"/>
          <w:lang w:eastAsia="es-ES_tradnl"/>
        </w:rPr>
        <w:t>d</w:t>
      </w:r>
      <w:r w:rsidRPr="000806F0">
        <w:rPr>
          <w:color w:val="000000"/>
          <w:lang w:eastAsia="es-ES_tradnl"/>
        </w:rPr>
        <w:t xml:space="preserve">el uso y aplicación de las tecnologías de información y comunicación de una Institución de Educación Superior Pública, con base en los indicadores de calidad nacionales del </w:t>
      </w:r>
      <w:r w:rsidR="00A11749" w:rsidRPr="000806F0">
        <w:rPr>
          <w:color w:val="000000"/>
        </w:rPr>
        <w:t>P</w:t>
      </w:r>
      <w:r w:rsidR="00A11749">
        <w:rPr>
          <w:color w:val="000000"/>
        </w:rPr>
        <w:t xml:space="preserve">rograma </w:t>
      </w:r>
      <w:r w:rsidR="00A11749" w:rsidRPr="000806F0">
        <w:rPr>
          <w:color w:val="000000"/>
        </w:rPr>
        <w:t>N</w:t>
      </w:r>
      <w:r w:rsidR="00A11749">
        <w:rPr>
          <w:color w:val="000000"/>
        </w:rPr>
        <w:t xml:space="preserve">acional de </w:t>
      </w:r>
      <w:r w:rsidR="00A11749" w:rsidRPr="000806F0">
        <w:rPr>
          <w:color w:val="000000"/>
        </w:rPr>
        <w:t>P</w:t>
      </w:r>
      <w:r w:rsidR="00A11749">
        <w:rPr>
          <w:color w:val="000000"/>
        </w:rPr>
        <w:t xml:space="preserve">osgrados de </w:t>
      </w:r>
      <w:r w:rsidR="00A11749" w:rsidRPr="000806F0">
        <w:rPr>
          <w:color w:val="000000"/>
        </w:rPr>
        <w:t>C</w:t>
      </w:r>
      <w:r w:rsidR="00A11749">
        <w:rPr>
          <w:color w:val="000000"/>
        </w:rPr>
        <w:t>alidad</w:t>
      </w:r>
      <w:r w:rsidR="00A11749" w:rsidRPr="000806F0">
        <w:rPr>
          <w:color w:val="000000"/>
        </w:rPr>
        <w:t xml:space="preserve"> del C</w:t>
      </w:r>
      <w:r w:rsidR="00A11749">
        <w:rPr>
          <w:color w:val="000000"/>
        </w:rPr>
        <w:t xml:space="preserve">onsejo </w:t>
      </w:r>
      <w:r w:rsidR="00A11749" w:rsidRPr="000806F0">
        <w:rPr>
          <w:color w:val="000000"/>
        </w:rPr>
        <w:t>N</w:t>
      </w:r>
      <w:r w:rsidR="00A11749">
        <w:rPr>
          <w:color w:val="000000"/>
        </w:rPr>
        <w:t>acional de Ciencia (</w:t>
      </w:r>
      <w:r w:rsidRPr="000806F0">
        <w:rPr>
          <w:color w:val="000000"/>
          <w:lang w:eastAsia="es-ES_tradnl"/>
        </w:rPr>
        <w:t>PNPC</w:t>
      </w:r>
      <w:r w:rsidR="00A11749">
        <w:rPr>
          <w:color w:val="000000"/>
          <w:lang w:eastAsia="es-ES_tradnl"/>
        </w:rPr>
        <w:t>)</w:t>
      </w:r>
      <w:r w:rsidRPr="000806F0">
        <w:rPr>
          <w:color w:val="000000"/>
          <w:lang w:eastAsia="es-ES_tradnl"/>
        </w:rPr>
        <w:t xml:space="preserve"> del </w:t>
      </w:r>
      <w:r w:rsidR="00A11749" w:rsidRPr="000806F0">
        <w:rPr>
          <w:color w:val="000000"/>
        </w:rPr>
        <w:t>C</w:t>
      </w:r>
      <w:r w:rsidR="00A11749">
        <w:rPr>
          <w:color w:val="000000"/>
        </w:rPr>
        <w:t xml:space="preserve">onsejo </w:t>
      </w:r>
      <w:r w:rsidR="00A11749" w:rsidRPr="000806F0">
        <w:rPr>
          <w:color w:val="000000"/>
        </w:rPr>
        <w:t>N</w:t>
      </w:r>
      <w:r w:rsidR="00A11749">
        <w:rPr>
          <w:color w:val="000000"/>
        </w:rPr>
        <w:t xml:space="preserve">acional de Ciencia y Tecnología </w:t>
      </w:r>
      <w:r w:rsidR="00A11749" w:rsidRPr="000806F0">
        <w:rPr>
          <w:color w:val="000000"/>
        </w:rPr>
        <w:t xml:space="preserve">y de la </w:t>
      </w:r>
      <w:r w:rsidR="00A11749">
        <w:rPr>
          <w:color w:val="000000"/>
        </w:rPr>
        <w:t>(</w:t>
      </w:r>
      <w:r w:rsidRPr="000806F0">
        <w:rPr>
          <w:color w:val="000000"/>
          <w:lang w:eastAsia="es-ES_tradnl"/>
        </w:rPr>
        <w:t>CONACyT</w:t>
      </w:r>
      <w:r w:rsidR="00A11749">
        <w:rPr>
          <w:color w:val="000000"/>
          <w:lang w:eastAsia="es-ES_tradnl"/>
        </w:rPr>
        <w:t>)</w:t>
      </w:r>
      <w:r w:rsidRPr="000806F0">
        <w:rPr>
          <w:color w:val="000000"/>
          <w:lang w:eastAsia="es-ES_tradnl"/>
        </w:rPr>
        <w:t xml:space="preserve"> y de la </w:t>
      </w:r>
      <w:r w:rsidR="00A11749" w:rsidRPr="000806F0">
        <w:rPr>
          <w:color w:val="000000"/>
        </w:rPr>
        <w:t>A</w:t>
      </w:r>
      <w:r w:rsidR="00A11749">
        <w:rPr>
          <w:color w:val="000000"/>
        </w:rPr>
        <w:t xml:space="preserve">sociación </w:t>
      </w:r>
      <w:r w:rsidR="00A11749" w:rsidRPr="000806F0">
        <w:rPr>
          <w:color w:val="000000"/>
        </w:rPr>
        <w:t>N</w:t>
      </w:r>
      <w:r w:rsidR="00A11749">
        <w:rPr>
          <w:color w:val="000000"/>
        </w:rPr>
        <w:t xml:space="preserve">acional de </w:t>
      </w:r>
      <w:r w:rsidR="00A11749" w:rsidRPr="000806F0">
        <w:rPr>
          <w:color w:val="000000"/>
        </w:rPr>
        <w:t>U</w:t>
      </w:r>
      <w:r w:rsidR="00A11749">
        <w:rPr>
          <w:color w:val="000000"/>
        </w:rPr>
        <w:t xml:space="preserve">niversidades e </w:t>
      </w:r>
      <w:r w:rsidR="00A11749" w:rsidRPr="000806F0">
        <w:rPr>
          <w:color w:val="000000"/>
        </w:rPr>
        <w:t>I</w:t>
      </w:r>
      <w:r w:rsidR="00A11749">
        <w:rPr>
          <w:color w:val="000000"/>
        </w:rPr>
        <w:t xml:space="preserve">nstituciones de </w:t>
      </w:r>
      <w:r w:rsidR="00A11749" w:rsidRPr="000806F0">
        <w:rPr>
          <w:color w:val="000000"/>
        </w:rPr>
        <w:t>E</w:t>
      </w:r>
      <w:r w:rsidR="00A11749">
        <w:rPr>
          <w:color w:val="000000"/>
        </w:rPr>
        <w:t xml:space="preserve">ducación </w:t>
      </w:r>
      <w:r w:rsidR="00A11749" w:rsidRPr="000806F0">
        <w:rPr>
          <w:color w:val="000000"/>
        </w:rPr>
        <w:t>S</w:t>
      </w:r>
      <w:r w:rsidR="00A11749">
        <w:rPr>
          <w:color w:val="000000"/>
        </w:rPr>
        <w:t>uperior</w:t>
      </w:r>
      <w:r w:rsidR="00A11749" w:rsidRPr="000806F0">
        <w:rPr>
          <w:color w:val="000000"/>
          <w:lang w:eastAsia="es-ES_tradnl"/>
        </w:rPr>
        <w:t xml:space="preserve"> </w:t>
      </w:r>
      <w:r w:rsidR="00A11749">
        <w:rPr>
          <w:color w:val="000000"/>
          <w:lang w:eastAsia="es-ES_tradnl"/>
        </w:rPr>
        <w:t>(</w:t>
      </w:r>
      <w:r w:rsidRPr="000806F0">
        <w:rPr>
          <w:color w:val="000000"/>
          <w:lang w:eastAsia="es-ES_tradnl"/>
        </w:rPr>
        <w:t>ANUIES</w:t>
      </w:r>
      <w:r w:rsidR="00A11749">
        <w:rPr>
          <w:color w:val="000000"/>
          <w:lang w:eastAsia="es-ES_tradnl"/>
        </w:rPr>
        <w:t>)</w:t>
      </w:r>
      <w:r w:rsidRPr="000806F0">
        <w:rPr>
          <w:color w:val="000000"/>
          <w:lang w:eastAsia="es-ES_tradnl"/>
        </w:rPr>
        <w:t>, como estrategia en la implementación de estudios de posgrado en modalidades no escolarizadas.</w:t>
      </w:r>
    </w:p>
    <w:p w14:paraId="088DE21D" w14:textId="69A2BD9D" w:rsidR="006A4C81" w:rsidRPr="006A4C81" w:rsidRDefault="006A4C81" w:rsidP="009E3E75">
      <w:pPr>
        <w:autoSpaceDE w:val="0"/>
        <w:autoSpaceDN w:val="0"/>
        <w:adjustRightInd w:val="0"/>
        <w:spacing w:line="360" w:lineRule="auto"/>
        <w:ind w:firstLine="708"/>
        <w:jc w:val="both"/>
        <w:rPr>
          <w:color w:val="000000"/>
          <w:lang w:eastAsia="es-ES_tradnl"/>
        </w:rPr>
      </w:pPr>
      <w:r>
        <w:rPr>
          <w:color w:val="000000"/>
          <w:lang w:eastAsia="es-ES_tradnl"/>
        </w:rPr>
        <w:t xml:space="preserve">El presente estudio permitió </w:t>
      </w:r>
      <w:r w:rsidR="00D2572F" w:rsidRPr="000806F0">
        <w:rPr>
          <w:color w:val="000000"/>
          <w:lang w:eastAsia="es-ES_tradnl"/>
        </w:rPr>
        <w:t xml:space="preserve">determinar el grado de aprovechamiento del conocimiento por parte de los académicos en el posgrado, </w:t>
      </w:r>
      <w:r w:rsidRPr="006A4C81">
        <w:rPr>
          <w:color w:val="000000"/>
          <w:lang w:eastAsia="es-ES_tradnl"/>
        </w:rPr>
        <w:t xml:space="preserve">proporcionó hallazgos que muestran </w:t>
      </w:r>
      <w:r>
        <w:rPr>
          <w:color w:val="000000"/>
          <w:lang w:eastAsia="es-ES_tradnl"/>
        </w:rPr>
        <w:t>el</w:t>
      </w:r>
      <w:r w:rsidRPr="006A4C81">
        <w:rPr>
          <w:color w:val="000000"/>
          <w:lang w:eastAsia="es-ES_tradnl"/>
        </w:rPr>
        <w:t xml:space="preserve"> nivel de conocimiento de los indicadores nacionales, producción de guiones y materiales por parte de los docentes y el uso de diversos materiales de apoyo, productos de aprendizaje, exploración de otras tecnologías educativas y técnicas didácticas</w:t>
      </w:r>
      <w:r w:rsidR="00A85841">
        <w:rPr>
          <w:color w:val="000000"/>
          <w:lang w:eastAsia="es-ES_tradnl"/>
        </w:rPr>
        <w:t xml:space="preserve">. Finalmente, </w:t>
      </w:r>
      <w:r w:rsidRPr="006A4C81">
        <w:rPr>
          <w:color w:val="000000"/>
          <w:lang w:eastAsia="es-ES_tradnl"/>
        </w:rPr>
        <w:t>a pesar de</w:t>
      </w:r>
      <w:r w:rsidR="00A85841">
        <w:rPr>
          <w:color w:val="000000"/>
          <w:lang w:eastAsia="es-ES_tradnl"/>
        </w:rPr>
        <w:t xml:space="preserve"> conocer</w:t>
      </w:r>
      <w:r w:rsidRPr="006A4C81">
        <w:rPr>
          <w:color w:val="000000"/>
          <w:lang w:eastAsia="es-ES_tradnl"/>
        </w:rPr>
        <w:t xml:space="preserve"> los indicadores nacionales de calidad para las modalidades no escolarizadas en los posgrados, la </w:t>
      </w:r>
      <w:r w:rsidR="00A85841">
        <w:rPr>
          <w:color w:val="000000"/>
          <w:lang w:eastAsia="es-ES_tradnl"/>
        </w:rPr>
        <w:t xml:space="preserve">oferta e </w:t>
      </w:r>
      <w:r w:rsidRPr="006A4C81">
        <w:rPr>
          <w:color w:val="000000"/>
          <w:lang w:eastAsia="es-ES_tradnl"/>
        </w:rPr>
        <w:t xml:space="preserve">implementación de </w:t>
      </w:r>
      <w:r w:rsidR="00A85841" w:rsidRPr="006A4C81">
        <w:rPr>
          <w:color w:val="000000"/>
          <w:lang w:eastAsia="es-ES_tradnl"/>
        </w:rPr>
        <w:t>estos</w:t>
      </w:r>
      <w:r w:rsidRPr="006A4C81">
        <w:rPr>
          <w:color w:val="000000"/>
          <w:lang w:eastAsia="es-ES_tradnl"/>
        </w:rPr>
        <w:t xml:space="preserve"> estudios </w:t>
      </w:r>
      <w:r w:rsidR="00A85841">
        <w:rPr>
          <w:color w:val="000000"/>
          <w:lang w:eastAsia="es-ES_tradnl"/>
        </w:rPr>
        <w:t xml:space="preserve">continúa siendo </w:t>
      </w:r>
      <w:r w:rsidRPr="006A4C81">
        <w:rPr>
          <w:color w:val="000000"/>
          <w:lang w:eastAsia="es-ES_tradnl"/>
        </w:rPr>
        <w:t>baja.</w:t>
      </w:r>
    </w:p>
    <w:p w14:paraId="4161667A" w14:textId="77777777" w:rsidR="00A85841" w:rsidRDefault="00A85841" w:rsidP="009E3E75">
      <w:pPr>
        <w:autoSpaceDE w:val="0"/>
        <w:autoSpaceDN w:val="0"/>
        <w:adjustRightInd w:val="0"/>
        <w:spacing w:line="360" w:lineRule="auto"/>
        <w:jc w:val="center"/>
        <w:rPr>
          <w:b/>
          <w:color w:val="000000"/>
          <w:sz w:val="32"/>
          <w:szCs w:val="32"/>
          <w:lang w:eastAsia="es-ES_tradnl"/>
        </w:rPr>
      </w:pPr>
    </w:p>
    <w:p w14:paraId="01B91F59" w14:textId="7B627A4D" w:rsidR="00F93C65" w:rsidRPr="009E3E75" w:rsidRDefault="00F93C65" w:rsidP="009E3E75">
      <w:pPr>
        <w:autoSpaceDE w:val="0"/>
        <w:autoSpaceDN w:val="0"/>
        <w:adjustRightInd w:val="0"/>
        <w:spacing w:line="360" w:lineRule="auto"/>
        <w:jc w:val="center"/>
        <w:rPr>
          <w:b/>
          <w:color w:val="000000"/>
          <w:sz w:val="28"/>
          <w:szCs w:val="28"/>
          <w:lang w:eastAsia="es-ES_tradnl"/>
        </w:rPr>
      </w:pPr>
      <w:r w:rsidRPr="009E3E75">
        <w:rPr>
          <w:b/>
          <w:color w:val="000000"/>
          <w:sz w:val="28"/>
          <w:szCs w:val="28"/>
          <w:lang w:eastAsia="es-ES_tradnl"/>
        </w:rPr>
        <w:t>Indicadores de calidad nacionales para la modalidad no escolarizada de los posgrados</w:t>
      </w:r>
    </w:p>
    <w:p w14:paraId="78FA523B" w14:textId="77777777" w:rsidR="00436D00" w:rsidRDefault="00F93C65" w:rsidP="009E3E75">
      <w:pPr>
        <w:spacing w:line="360" w:lineRule="auto"/>
        <w:ind w:firstLine="709"/>
        <w:jc w:val="both"/>
        <w:rPr>
          <w:color w:val="000000"/>
          <w:lang w:eastAsia="es-ES_tradnl"/>
        </w:rPr>
      </w:pPr>
      <w:r w:rsidRPr="00F93C65">
        <w:rPr>
          <w:color w:val="000000"/>
          <w:lang w:eastAsia="es-ES_tradnl"/>
        </w:rPr>
        <w:t>El Consejo Nacional de Ciencia y Tecnología, CONACyT, fue creado en el año de 1970, “nació y creció de la mano de la comunidad científica y desde entonces, ha tenido una participación enorme en su estructuración, así como en las políticas que ha implementado” (Torres, 2019).</w:t>
      </w:r>
    </w:p>
    <w:p w14:paraId="7E7ADCF1" w14:textId="77777777" w:rsidR="00436D00" w:rsidRDefault="00F93C65" w:rsidP="009E3E75">
      <w:pPr>
        <w:spacing w:line="360" w:lineRule="auto"/>
        <w:ind w:firstLine="709"/>
        <w:jc w:val="both"/>
        <w:rPr>
          <w:color w:val="000000"/>
          <w:lang w:eastAsia="es-ES_tradnl"/>
        </w:rPr>
      </w:pPr>
      <w:r w:rsidRPr="00F93C65">
        <w:rPr>
          <w:color w:val="000000"/>
          <w:lang w:eastAsia="es-ES_tradnl"/>
        </w:rPr>
        <w:lastRenderedPageBreak/>
        <w:t>El CONACyT es un organismo descentralizado del Estado, no sectorizado, con personalidad jurídica y patrimonio propio. En la ley orgánica del Consejo se señala que tiene por objeto ser la entidad asesora del Ejecutivo Federal y especializada para articular las políticas públicas del Gobierno Federal y promover el desarrollo de la investigación científica y tecnológica, la innovación, el desarrollo y la modernización tecnológica del país.</w:t>
      </w:r>
    </w:p>
    <w:p w14:paraId="2872C7B1" w14:textId="48394BA5" w:rsidR="00436D00" w:rsidRDefault="00436D00" w:rsidP="009E3E75">
      <w:pPr>
        <w:spacing w:line="360" w:lineRule="auto"/>
        <w:ind w:firstLine="709"/>
        <w:jc w:val="both"/>
        <w:rPr>
          <w:color w:val="000000"/>
          <w:lang w:eastAsia="es-ES_tradnl"/>
        </w:rPr>
      </w:pPr>
      <w:r w:rsidRPr="00436D00">
        <w:rPr>
          <w:color w:val="000000"/>
          <w:lang w:eastAsia="es-ES_tradnl"/>
        </w:rPr>
        <w:t>La funciones y normas que rigen la actuación del CONACyT se encuentran plasmadas en la Ley de Ciencia y Tecnología, estructurada con 72 artículos agrupados en 10 capítulos. Esta ley, de carácter federal, contiene los fundamentos que han permitido regular los requisitos y características a los que deben ajustarse los programas de estudios que se realizan a nivel de posgrado.</w:t>
      </w:r>
    </w:p>
    <w:p w14:paraId="49A2FE17" w14:textId="4C16DEFB" w:rsidR="00436D00" w:rsidRDefault="00436D00" w:rsidP="009E3E75">
      <w:pPr>
        <w:spacing w:line="360" w:lineRule="auto"/>
        <w:ind w:firstLine="709"/>
        <w:jc w:val="both"/>
        <w:rPr>
          <w:color w:val="000000"/>
          <w:lang w:eastAsia="es-ES_tradnl"/>
        </w:rPr>
      </w:pPr>
      <w:r w:rsidRPr="00436D00">
        <w:rPr>
          <w:color w:val="000000"/>
          <w:lang w:eastAsia="es-ES_tradnl"/>
        </w:rPr>
        <w:t>El mecanismo creado para apoyar los estudios de posgrado es el Programa Nacional de Posgrados de Calidad, identificado con las siglas PNPC</w:t>
      </w:r>
      <w:r>
        <w:rPr>
          <w:color w:val="000000"/>
          <w:lang w:eastAsia="es-ES_tradnl"/>
        </w:rPr>
        <w:t>,</w:t>
      </w:r>
      <w:r w:rsidRPr="00436D00">
        <w:rPr>
          <w:color w:val="000000"/>
          <w:lang w:eastAsia="es-ES_tradnl"/>
        </w:rPr>
        <w:t xml:space="preserve"> creado en el año 2007</w:t>
      </w:r>
      <w:r>
        <w:rPr>
          <w:color w:val="000000"/>
          <w:lang w:eastAsia="es-ES_tradnl"/>
        </w:rPr>
        <w:t xml:space="preserve"> y que </w:t>
      </w:r>
      <w:r w:rsidRPr="00436D00">
        <w:rPr>
          <w:color w:val="000000"/>
          <w:lang w:eastAsia="es-ES_tradnl"/>
        </w:rPr>
        <w:t>forma parte de las políticas públicas de fomento a la calidad del posgrado nacional que el CONACyT y la Subsecretaría de Educación Superior de la Secretaría de Educación Pública han impulsado desde 1991.</w:t>
      </w:r>
    </w:p>
    <w:p w14:paraId="3CCD3682" w14:textId="0E7E391A" w:rsidR="00436D00" w:rsidRDefault="00436D00" w:rsidP="009E3E75">
      <w:pPr>
        <w:spacing w:line="360" w:lineRule="auto"/>
        <w:ind w:firstLine="709"/>
        <w:jc w:val="both"/>
        <w:rPr>
          <w:color w:val="000000"/>
          <w:lang w:eastAsia="es-ES_tradnl"/>
        </w:rPr>
      </w:pPr>
      <w:r w:rsidRPr="00436D00">
        <w:rPr>
          <w:color w:val="000000"/>
          <w:lang w:eastAsia="es-ES_tradnl"/>
        </w:rPr>
        <w:t>El objetivo del PNPC es fomentar la mejora continua y el aseguramiento de la calidad del posgrado nacional, para incrementar las capacidades científicas, humanísticas, tecnológicas y de innovación del país, que incorporen la generación y aplicación del conocimiento como un recurso para el desarrollo de la sociedad y la atención a sus necesidades, contribuyendo así a consolidar el crecimiento dinámico y un desarrollo más equitativo y sustentable del país.</w:t>
      </w:r>
    </w:p>
    <w:p w14:paraId="75F4A3E0" w14:textId="243DF88D" w:rsidR="004F0141" w:rsidRDefault="004F0141" w:rsidP="009E3E75">
      <w:pPr>
        <w:spacing w:line="360" w:lineRule="auto"/>
        <w:ind w:firstLine="709"/>
        <w:jc w:val="both"/>
        <w:rPr>
          <w:color w:val="000000"/>
          <w:lang w:eastAsia="es-ES_tradnl"/>
        </w:rPr>
      </w:pPr>
      <w:r w:rsidRPr="004F0141">
        <w:rPr>
          <w:color w:val="000000"/>
          <w:lang w:eastAsia="es-ES_tradnl"/>
        </w:rPr>
        <w:t>A través del Consejo Nacional de Ciencia y Tecnología y mediante la convocatoria de expertos nacionales e internacionales, se construyó la metodología para la evaluación y seguimiento de programas de:</w:t>
      </w:r>
      <w:r w:rsidR="00387F1C">
        <w:rPr>
          <w:color w:val="000000"/>
          <w:lang w:eastAsia="es-ES_tradnl"/>
        </w:rPr>
        <w:t xml:space="preserve"> </w:t>
      </w:r>
      <w:r w:rsidRPr="004F0141">
        <w:rPr>
          <w:color w:val="000000"/>
          <w:lang w:eastAsia="es-ES_tradnl"/>
        </w:rPr>
        <w:t>Posgrado presenciales (orientados a la investigación y a la práctica profesional)</w:t>
      </w:r>
      <w:r w:rsidR="00387F1C">
        <w:rPr>
          <w:color w:val="000000"/>
          <w:lang w:eastAsia="es-ES_tradnl"/>
        </w:rPr>
        <w:t xml:space="preserve">; </w:t>
      </w:r>
      <w:r w:rsidRPr="004F0141">
        <w:rPr>
          <w:color w:val="000000"/>
          <w:lang w:eastAsia="es-ES_tradnl"/>
        </w:rPr>
        <w:t>Especialidades Médicas</w:t>
      </w:r>
      <w:r w:rsidR="00387F1C">
        <w:rPr>
          <w:color w:val="000000"/>
          <w:lang w:eastAsia="es-ES_tradnl"/>
        </w:rPr>
        <w:t xml:space="preserve">; </w:t>
      </w:r>
      <w:r w:rsidRPr="004F0141">
        <w:rPr>
          <w:color w:val="000000"/>
          <w:lang w:eastAsia="es-ES_tradnl"/>
        </w:rPr>
        <w:t>Posgrados con la industria</w:t>
      </w:r>
      <w:r w:rsidR="00387F1C">
        <w:rPr>
          <w:color w:val="000000"/>
          <w:lang w:eastAsia="es-ES_tradnl"/>
        </w:rPr>
        <w:t xml:space="preserve">; </w:t>
      </w:r>
      <w:r w:rsidRPr="004F0141">
        <w:rPr>
          <w:color w:val="000000"/>
          <w:lang w:eastAsia="es-ES_tradnl"/>
        </w:rPr>
        <w:t>Posgrado a distancia y mixtos</w:t>
      </w:r>
      <w:r w:rsidR="00387F1C">
        <w:rPr>
          <w:color w:val="000000"/>
          <w:lang w:eastAsia="es-ES_tradnl"/>
        </w:rPr>
        <w:t>.</w:t>
      </w:r>
    </w:p>
    <w:p w14:paraId="6F8C60A2" w14:textId="77777777" w:rsidR="004F0141" w:rsidRPr="004F0141" w:rsidRDefault="004F0141" w:rsidP="009E3E75">
      <w:pPr>
        <w:spacing w:line="360" w:lineRule="auto"/>
        <w:ind w:firstLine="709"/>
        <w:jc w:val="both"/>
        <w:rPr>
          <w:color w:val="000000"/>
          <w:lang w:eastAsia="es-ES_tradnl"/>
        </w:rPr>
      </w:pPr>
      <w:r w:rsidRPr="004F0141">
        <w:rPr>
          <w:color w:val="000000"/>
          <w:lang w:eastAsia="es-ES_tradnl"/>
        </w:rPr>
        <w:t>El PNPC coadyuva al sistema de garantía de la calidad de la educación superior, y es un referente confiable acerca de la calidad de la oferta educativa en el ámbito del posgrado, que ayuda y orienta a los diferentes sectores del país, para que opten por los beneficios que otorga la formación de recursos humanos de alto nivel.</w:t>
      </w:r>
    </w:p>
    <w:p w14:paraId="581FD3D0" w14:textId="2AD880F5" w:rsidR="004F0141" w:rsidRPr="004F0141" w:rsidRDefault="004F0141" w:rsidP="009E3E75">
      <w:pPr>
        <w:spacing w:line="360" w:lineRule="auto"/>
        <w:ind w:firstLine="709"/>
        <w:jc w:val="both"/>
        <w:rPr>
          <w:color w:val="000000"/>
          <w:lang w:eastAsia="es-ES_tradnl"/>
        </w:rPr>
      </w:pPr>
      <w:r w:rsidRPr="004F0141">
        <w:rPr>
          <w:color w:val="000000"/>
          <w:lang w:eastAsia="es-ES_tradnl"/>
        </w:rPr>
        <w:t>Los comités de pares basan sus recomendaciones en:</w:t>
      </w:r>
      <w:r w:rsidR="005F0820">
        <w:rPr>
          <w:color w:val="000000"/>
          <w:lang w:eastAsia="es-ES_tradnl"/>
        </w:rPr>
        <w:t xml:space="preserve"> </w:t>
      </w:r>
      <w:r w:rsidRPr="005F0820">
        <w:rPr>
          <w:color w:val="000000"/>
          <w:lang w:eastAsia="es-ES_tradnl"/>
        </w:rPr>
        <w:t>La auto-evaluación del programa realizada por la institución</w:t>
      </w:r>
      <w:r w:rsidR="005F0820" w:rsidRPr="005F0820">
        <w:rPr>
          <w:color w:val="000000"/>
          <w:lang w:eastAsia="es-ES_tradnl"/>
        </w:rPr>
        <w:t xml:space="preserve">; </w:t>
      </w:r>
      <w:r w:rsidRPr="005F0820">
        <w:rPr>
          <w:color w:val="000000"/>
          <w:lang w:eastAsia="es-ES_tradnl"/>
        </w:rPr>
        <w:t>El cumplimiento de los criterios y lineamientos de evaluación contenidos en el Marco de Referencia para la Evaluación y Seguimiento de Programas de Posgrado</w:t>
      </w:r>
      <w:r w:rsidR="005F0820">
        <w:rPr>
          <w:color w:val="000000"/>
          <w:lang w:eastAsia="es-ES_tradnl"/>
        </w:rPr>
        <w:t xml:space="preserve">; </w:t>
      </w:r>
      <w:r w:rsidRPr="004F0141">
        <w:rPr>
          <w:color w:val="000000"/>
          <w:lang w:eastAsia="es-ES_tradnl"/>
        </w:rPr>
        <w:t>La información estadística del programa</w:t>
      </w:r>
      <w:r w:rsidR="005F0820">
        <w:rPr>
          <w:color w:val="000000"/>
          <w:lang w:eastAsia="es-ES_tradnl"/>
        </w:rPr>
        <w:t xml:space="preserve">; </w:t>
      </w:r>
      <w:r w:rsidRPr="004F0141">
        <w:rPr>
          <w:color w:val="000000"/>
          <w:lang w:eastAsia="es-ES_tradnl"/>
        </w:rPr>
        <w:t xml:space="preserve">Los medios de </w:t>
      </w:r>
      <w:r w:rsidRPr="004F0141">
        <w:rPr>
          <w:color w:val="000000"/>
          <w:lang w:eastAsia="es-ES_tradnl"/>
        </w:rPr>
        <w:lastRenderedPageBreak/>
        <w:t>verificación</w:t>
      </w:r>
      <w:r w:rsidR="005F0820">
        <w:rPr>
          <w:color w:val="000000"/>
          <w:lang w:eastAsia="es-ES_tradnl"/>
        </w:rPr>
        <w:t xml:space="preserve">; </w:t>
      </w:r>
      <w:r w:rsidRPr="004F0141">
        <w:rPr>
          <w:color w:val="000000"/>
          <w:lang w:eastAsia="es-ES_tradnl"/>
        </w:rPr>
        <w:t>La entrevista con el Coordinador del Programa</w:t>
      </w:r>
      <w:r w:rsidR="005F0820">
        <w:rPr>
          <w:color w:val="000000"/>
          <w:lang w:eastAsia="es-ES_tradnl"/>
        </w:rPr>
        <w:t xml:space="preserve">; </w:t>
      </w:r>
      <w:r w:rsidRPr="004F0141">
        <w:rPr>
          <w:color w:val="000000"/>
          <w:lang w:eastAsia="es-ES_tradnl"/>
        </w:rPr>
        <w:t>El expediente del programa y las observaciones que haya recibido, en su caso, en evaluaciones anteriores.</w:t>
      </w:r>
      <w:r w:rsidR="0088757B">
        <w:rPr>
          <w:color w:val="000000"/>
          <w:lang w:eastAsia="es-ES_tradnl"/>
        </w:rPr>
        <w:t xml:space="preserve"> </w:t>
      </w:r>
      <w:r w:rsidR="00D84DAF">
        <w:rPr>
          <w:color w:val="000000"/>
          <w:lang w:eastAsia="es-ES_tradnl"/>
        </w:rPr>
        <w:t>(</w:t>
      </w:r>
      <w:r w:rsidR="00D84DAF" w:rsidRPr="00997638">
        <w:rPr>
          <w:lang w:eastAsia="es-ES_tradnl"/>
        </w:rPr>
        <w:t>Marco de referencia para la Evaluación y Seguimiento de Programas de Nuevo Ingreso Modalidad Escolarizada</w:t>
      </w:r>
      <w:r w:rsidR="00D84DAF">
        <w:rPr>
          <w:lang w:eastAsia="es-ES_tradnl"/>
        </w:rPr>
        <w:t>,</w:t>
      </w:r>
      <w:r w:rsidR="00D84DAF" w:rsidRPr="0088757B">
        <w:rPr>
          <w:lang w:eastAsia="es-ES_tradnl"/>
        </w:rPr>
        <w:t xml:space="preserve"> </w:t>
      </w:r>
      <w:r w:rsidR="0088757B" w:rsidRPr="0088757B">
        <w:rPr>
          <w:lang w:eastAsia="es-ES_tradnl"/>
        </w:rPr>
        <w:t>CONACyT y Subsecretaría de Educación Superior</w:t>
      </w:r>
      <w:r w:rsidR="00D84DAF">
        <w:rPr>
          <w:lang w:eastAsia="es-ES_tradnl"/>
        </w:rPr>
        <w:t>,</w:t>
      </w:r>
      <w:r w:rsidR="0088757B" w:rsidRPr="0088757B">
        <w:rPr>
          <w:lang w:eastAsia="es-ES_tradnl"/>
        </w:rPr>
        <w:t xml:space="preserve"> 2020).</w:t>
      </w:r>
    </w:p>
    <w:p w14:paraId="1FEC7D22" w14:textId="3D043CA9" w:rsidR="00BB1F1A" w:rsidRDefault="004F0141" w:rsidP="0003664B">
      <w:pPr>
        <w:spacing w:line="360" w:lineRule="auto"/>
        <w:ind w:firstLine="709"/>
        <w:jc w:val="both"/>
        <w:rPr>
          <w:color w:val="000000"/>
          <w:lang w:eastAsia="es-ES_tradnl"/>
        </w:rPr>
      </w:pPr>
      <w:r w:rsidRPr="004F0141">
        <w:rPr>
          <w:color w:val="000000"/>
          <w:lang w:eastAsia="es-ES_tradnl"/>
        </w:rPr>
        <w:t>Los programas que resultan aprobados en el proceso de la evaluación académica se integran en el Padrón del Programa Nacional de Posgrados de Calidad, el cual está conformado por cuatro niveles (</w:t>
      </w:r>
      <w:r w:rsidR="00D84DAF" w:rsidRPr="00D84DAF">
        <w:rPr>
          <w:color w:val="000000"/>
          <w:lang w:eastAsia="es-ES_tradnl"/>
        </w:rPr>
        <w:t>Marco de referencia para la Evaluación y Seguimiento de Programas de Posgrados Presenciales.</w:t>
      </w:r>
      <w:r w:rsidR="00D84DAF">
        <w:rPr>
          <w:i/>
          <w:iCs/>
          <w:color w:val="000000"/>
          <w:sz w:val="20"/>
          <w:szCs w:val="20"/>
          <w:lang w:eastAsia="es-ES_tradnl"/>
        </w:rPr>
        <w:t xml:space="preserve"> </w:t>
      </w:r>
      <w:r w:rsidRPr="004F0141">
        <w:rPr>
          <w:color w:val="000000"/>
          <w:lang w:eastAsia="es-ES_tradnl"/>
        </w:rPr>
        <w:t xml:space="preserve">CONACyT y Subsecretaría de Educación </w:t>
      </w:r>
      <w:r w:rsidR="002042FA">
        <w:rPr>
          <w:color w:val="000000"/>
          <w:lang w:eastAsia="es-ES_tradnl"/>
        </w:rPr>
        <w:t>Superior</w:t>
      </w:r>
      <w:r w:rsidRPr="004F0141">
        <w:rPr>
          <w:color w:val="000000"/>
          <w:lang w:eastAsia="es-ES_tradnl"/>
        </w:rPr>
        <w:t xml:space="preserve">, 2020) mostrados en la </w:t>
      </w:r>
      <w:r w:rsidR="00B93C81">
        <w:rPr>
          <w:color w:val="000000"/>
          <w:lang w:eastAsia="es-ES_tradnl"/>
        </w:rPr>
        <w:t>Tabla</w:t>
      </w:r>
      <w:r w:rsidRPr="004F0141">
        <w:rPr>
          <w:color w:val="000000"/>
          <w:lang w:eastAsia="es-ES_tradnl"/>
        </w:rPr>
        <w:t xml:space="preserve"> </w:t>
      </w:r>
      <w:r>
        <w:rPr>
          <w:color w:val="000000"/>
          <w:lang w:eastAsia="es-ES_tradnl"/>
        </w:rPr>
        <w:t>1</w:t>
      </w:r>
      <w:r w:rsidRPr="004F0141">
        <w:rPr>
          <w:color w:val="000000"/>
          <w:lang w:eastAsia="es-ES_tradnl"/>
        </w:rPr>
        <w:t>.</w:t>
      </w:r>
    </w:p>
    <w:p w14:paraId="669803B9" w14:textId="77777777" w:rsidR="00FA1A2A" w:rsidRPr="0003664B" w:rsidRDefault="00FA1A2A" w:rsidP="0003664B">
      <w:pPr>
        <w:spacing w:line="360" w:lineRule="auto"/>
        <w:ind w:firstLine="709"/>
        <w:jc w:val="both"/>
        <w:rPr>
          <w:color w:val="000000"/>
          <w:lang w:eastAsia="es-ES_tradnl"/>
        </w:rPr>
      </w:pPr>
    </w:p>
    <w:p w14:paraId="340D53A0" w14:textId="2C805EA5" w:rsidR="0003664B" w:rsidRDefault="00B93C81" w:rsidP="0003664B">
      <w:pPr>
        <w:jc w:val="center"/>
        <w:rPr>
          <w:color w:val="000000"/>
          <w:lang w:eastAsia="es-ES_tradnl"/>
        </w:rPr>
      </w:pPr>
      <w:r>
        <w:rPr>
          <w:b/>
          <w:bCs/>
          <w:color w:val="000000"/>
          <w:lang w:eastAsia="es-ES_tradnl"/>
        </w:rPr>
        <w:t>Tabla</w:t>
      </w:r>
      <w:r w:rsidR="004F0141" w:rsidRPr="009E3E75">
        <w:rPr>
          <w:b/>
          <w:bCs/>
          <w:color w:val="000000"/>
          <w:lang w:eastAsia="es-ES_tradnl"/>
        </w:rPr>
        <w:t xml:space="preserve"> 1</w:t>
      </w:r>
      <w:r w:rsidR="004F0141" w:rsidRPr="009E3E75">
        <w:rPr>
          <w:color w:val="000000"/>
          <w:lang w:eastAsia="es-ES_tradnl"/>
        </w:rPr>
        <w:t>. Clasificación de los programas de posgrado en el Padrón del PNPC</w:t>
      </w:r>
    </w:p>
    <w:tbl>
      <w:tblPr>
        <w:tblStyle w:val="Tablaconcuadrcula"/>
        <w:tblW w:w="0" w:type="auto"/>
        <w:tblLook w:val="04A0" w:firstRow="1" w:lastRow="0" w:firstColumn="1" w:lastColumn="0" w:noHBand="0" w:noVBand="1"/>
      </w:tblPr>
      <w:tblGrid>
        <w:gridCol w:w="2200"/>
        <w:gridCol w:w="2736"/>
        <w:gridCol w:w="1913"/>
        <w:gridCol w:w="1979"/>
      </w:tblGrid>
      <w:tr w:rsidR="0003664B" w14:paraId="7C7B9302" w14:textId="77777777" w:rsidTr="00FA1A2A">
        <w:tc>
          <w:tcPr>
            <w:tcW w:w="2200" w:type="dxa"/>
            <w:shd w:val="clear" w:color="auto" w:fill="auto"/>
          </w:tcPr>
          <w:p w14:paraId="282D5431" w14:textId="16019F01" w:rsidR="0003664B" w:rsidRDefault="0003664B" w:rsidP="0003664B">
            <w:pPr>
              <w:jc w:val="center"/>
              <w:rPr>
                <w:color w:val="000000"/>
                <w:lang w:eastAsia="es-ES_tradnl"/>
              </w:rPr>
            </w:pPr>
            <w:r w:rsidRPr="0003664B">
              <w:rPr>
                <w:color w:val="000000"/>
                <w:lang w:eastAsia="es-ES_tradnl"/>
              </w:rPr>
              <w:t>Competencia internacional</w:t>
            </w:r>
          </w:p>
        </w:tc>
        <w:tc>
          <w:tcPr>
            <w:tcW w:w="2736" w:type="dxa"/>
            <w:shd w:val="clear" w:color="auto" w:fill="auto"/>
          </w:tcPr>
          <w:p w14:paraId="5BF4130C" w14:textId="77777777" w:rsidR="0003664B" w:rsidRPr="0003664B" w:rsidRDefault="0003664B" w:rsidP="0003664B">
            <w:pPr>
              <w:jc w:val="center"/>
              <w:rPr>
                <w:color w:val="000000"/>
                <w:lang w:eastAsia="es-ES_tradnl"/>
              </w:rPr>
            </w:pPr>
            <w:r w:rsidRPr="0003664B">
              <w:rPr>
                <w:color w:val="000000"/>
                <w:lang w:eastAsia="es-ES_tradnl"/>
              </w:rPr>
              <w:t>Consolidados</w:t>
            </w:r>
          </w:p>
          <w:p w14:paraId="6E03B3EA" w14:textId="77777777" w:rsidR="0003664B" w:rsidRDefault="0003664B" w:rsidP="0003664B">
            <w:pPr>
              <w:jc w:val="center"/>
              <w:rPr>
                <w:color w:val="000000"/>
                <w:lang w:eastAsia="es-ES_tradnl"/>
              </w:rPr>
            </w:pPr>
          </w:p>
        </w:tc>
        <w:tc>
          <w:tcPr>
            <w:tcW w:w="1913" w:type="dxa"/>
            <w:shd w:val="clear" w:color="auto" w:fill="auto"/>
          </w:tcPr>
          <w:p w14:paraId="2FE2B14B" w14:textId="77777777" w:rsidR="0003664B" w:rsidRPr="0003664B" w:rsidRDefault="0003664B" w:rsidP="0003664B">
            <w:pPr>
              <w:jc w:val="center"/>
              <w:rPr>
                <w:color w:val="000000"/>
                <w:lang w:eastAsia="es-ES_tradnl"/>
              </w:rPr>
            </w:pPr>
            <w:r w:rsidRPr="0003664B">
              <w:rPr>
                <w:color w:val="000000"/>
                <w:lang w:eastAsia="es-ES_tradnl"/>
              </w:rPr>
              <w:t>En desarrollo</w:t>
            </w:r>
          </w:p>
          <w:p w14:paraId="1F1A093A" w14:textId="77777777" w:rsidR="0003664B" w:rsidRDefault="0003664B" w:rsidP="0003664B">
            <w:pPr>
              <w:jc w:val="center"/>
              <w:rPr>
                <w:color w:val="000000"/>
                <w:lang w:eastAsia="es-ES_tradnl"/>
              </w:rPr>
            </w:pPr>
          </w:p>
        </w:tc>
        <w:tc>
          <w:tcPr>
            <w:tcW w:w="1979" w:type="dxa"/>
            <w:shd w:val="clear" w:color="auto" w:fill="auto"/>
          </w:tcPr>
          <w:p w14:paraId="44E0BB3B" w14:textId="58937871" w:rsidR="0003664B" w:rsidRDefault="0003664B" w:rsidP="0003664B">
            <w:pPr>
              <w:jc w:val="center"/>
              <w:rPr>
                <w:color w:val="000000"/>
                <w:lang w:eastAsia="es-ES_tradnl"/>
              </w:rPr>
            </w:pPr>
            <w:r w:rsidRPr="0003664B">
              <w:rPr>
                <w:color w:val="000000"/>
                <w:lang w:eastAsia="es-ES_tradnl"/>
              </w:rPr>
              <w:t>De reciente creación</w:t>
            </w:r>
          </w:p>
        </w:tc>
      </w:tr>
      <w:tr w:rsidR="0003664B" w14:paraId="0FAECBA6" w14:textId="77777777" w:rsidTr="00FA1A2A">
        <w:tc>
          <w:tcPr>
            <w:tcW w:w="2200" w:type="dxa"/>
            <w:shd w:val="clear" w:color="auto" w:fill="auto"/>
          </w:tcPr>
          <w:p w14:paraId="2BC3A5FE" w14:textId="60048B2B" w:rsidR="0003664B" w:rsidRDefault="0003664B" w:rsidP="0003664B">
            <w:pPr>
              <w:rPr>
                <w:color w:val="000000"/>
                <w:lang w:eastAsia="es-ES_tradnl"/>
              </w:rPr>
            </w:pPr>
            <w:r w:rsidRPr="0003664B">
              <w:rPr>
                <w:color w:val="000000"/>
                <w:lang w:eastAsia="es-ES_tradnl"/>
              </w:rPr>
              <w:t>Programas con colaboraciones internacionales, convenios, movilidad de estudiantes y profesores, la codirección de tesis y proyectos de investigación conjuntos, participación en sociedades científicas o colegios de profesionistas, coautoría de artículos, premios y distinciones nacionales e internacionales por trabajos de egresados.</w:t>
            </w:r>
          </w:p>
        </w:tc>
        <w:tc>
          <w:tcPr>
            <w:tcW w:w="2736" w:type="dxa"/>
            <w:shd w:val="clear" w:color="auto" w:fill="auto"/>
          </w:tcPr>
          <w:p w14:paraId="355B7536" w14:textId="77777777" w:rsidR="0003664B" w:rsidRPr="0003664B" w:rsidRDefault="0003664B" w:rsidP="0003664B">
            <w:pPr>
              <w:rPr>
                <w:color w:val="000000"/>
                <w:lang w:eastAsia="es-ES_tradnl"/>
              </w:rPr>
            </w:pPr>
            <w:r w:rsidRPr="0003664B">
              <w:rPr>
                <w:color w:val="000000"/>
                <w:lang w:eastAsia="es-ES_tradnl"/>
              </w:rPr>
              <w:t>Programas que tienen reconocimiento nacional por la pertinencia social y científica e impacto en la formación de la comunidad científica y tecnológica, en la productividad académica y en la colaboración con otros sectores de la sociedad.</w:t>
            </w:r>
          </w:p>
          <w:p w14:paraId="0BC3DB44" w14:textId="77777777" w:rsidR="0003664B" w:rsidRDefault="0003664B" w:rsidP="009E3E75">
            <w:pPr>
              <w:jc w:val="center"/>
              <w:rPr>
                <w:color w:val="000000"/>
                <w:lang w:eastAsia="es-ES_tradnl"/>
              </w:rPr>
            </w:pPr>
          </w:p>
        </w:tc>
        <w:tc>
          <w:tcPr>
            <w:tcW w:w="1913" w:type="dxa"/>
            <w:vMerge w:val="restart"/>
            <w:shd w:val="clear" w:color="auto" w:fill="auto"/>
          </w:tcPr>
          <w:p w14:paraId="6E333775" w14:textId="77777777" w:rsidR="0003664B" w:rsidRPr="0003664B" w:rsidRDefault="0003664B" w:rsidP="0003664B">
            <w:pPr>
              <w:rPr>
                <w:color w:val="000000"/>
                <w:lang w:eastAsia="es-ES_tradnl"/>
              </w:rPr>
            </w:pPr>
            <w:r w:rsidRPr="0003664B">
              <w:rPr>
                <w:color w:val="000000"/>
                <w:lang w:eastAsia="es-ES_tradnl"/>
              </w:rPr>
              <w:t>Programas con una prospección académica positiva sustentada en su plan de mejora, desde una perspectiva de pertinencia social y científica y en las metas factibles de alcanzar en el mediano plazo.</w:t>
            </w:r>
          </w:p>
          <w:p w14:paraId="73BF78F2" w14:textId="77777777" w:rsidR="0003664B" w:rsidRDefault="0003664B" w:rsidP="009E3E75">
            <w:pPr>
              <w:jc w:val="center"/>
              <w:rPr>
                <w:color w:val="000000"/>
                <w:lang w:eastAsia="es-ES_tradnl"/>
              </w:rPr>
            </w:pPr>
          </w:p>
        </w:tc>
        <w:tc>
          <w:tcPr>
            <w:tcW w:w="1979" w:type="dxa"/>
            <w:shd w:val="clear" w:color="auto" w:fill="auto"/>
          </w:tcPr>
          <w:p w14:paraId="138FD36D" w14:textId="295BD9F9" w:rsidR="0003664B" w:rsidRDefault="0003664B" w:rsidP="0003664B">
            <w:pPr>
              <w:rPr>
                <w:color w:val="000000"/>
                <w:lang w:eastAsia="es-ES_tradnl"/>
              </w:rPr>
            </w:pPr>
            <w:r w:rsidRPr="0003664B">
              <w:rPr>
                <w:color w:val="000000"/>
                <w:lang w:eastAsia="es-ES_tradnl"/>
              </w:rPr>
              <w:t>Programas que atienden problemáticas sociales y científicas relevantes de su contexto, que satisfacen los criterios y estándares básicos del marco de referencia del PNPC. Deben tener una antigüedad que no exceda de 4.5 años para doctorado, de 2.5 años para programas de maestría y especialidad.</w:t>
            </w:r>
          </w:p>
        </w:tc>
      </w:tr>
      <w:tr w:rsidR="0003664B" w14:paraId="53E664A6" w14:textId="77777777" w:rsidTr="00FA1A2A">
        <w:tc>
          <w:tcPr>
            <w:tcW w:w="2200" w:type="dxa"/>
            <w:shd w:val="clear" w:color="auto" w:fill="auto"/>
          </w:tcPr>
          <w:p w14:paraId="7F8EA21B" w14:textId="43C5E7C5" w:rsidR="0003664B" w:rsidRPr="0003664B" w:rsidRDefault="0003664B" w:rsidP="0003664B">
            <w:pPr>
              <w:rPr>
                <w:color w:val="000000"/>
                <w:lang w:eastAsia="es-ES_tradnl"/>
              </w:rPr>
            </w:pPr>
            <w:r w:rsidRPr="0003664B">
              <w:rPr>
                <w:color w:val="000000"/>
                <w:lang w:eastAsia="es-ES_tradnl"/>
              </w:rPr>
              <w:t>Al menos 5 generaciones con estudiantes egresados.</w:t>
            </w:r>
          </w:p>
        </w:tc>
        <w:tc>
          <w:tcPr>
            <w:tcW w:w="2736" w:type="dxa"/>
            <w:shd w:val="clear" w:color="auto" w:fill="auto"/>
          </w:tcPr>
          <w:p w14:paraId="0F668CBF" w14:textId="77777777" w:rsidR="0003664B" w:rsidRPr="0003664B" w:rsidRDefault="0003664B" w:rsidP="0003664B">
            <w:pPr>
              <w:rPr>
                <w:color w:val="000000"/>
                <w:lang w:eastAsia="es-ES_tradnl"/>
              </w:rPr>
            </w:pPr>
            <w:r w:rsidRPr="0003664B">
              <w:rPr>
                <w:color w:val="000000"/>
                <w:lang w:eastAsia="es-ES_tradnl"/>
              </w:rPr>
              <w:t>Al menos tres generaciones con estudiantes egresados.</w:t>
            </w:r>
          </w:p>
          <w:p w14:paraId="1DEDEBA2" w14:textId="77777777" w:rsidR="0003664B" w:rsidRPr="0003664B" w:rsidRDefault="0003664B" w:rsidP="0003664B">
            <w:pPr>
              <w:rPr>
                <w:color w:val="000000"/>
                <w:lang w:eastAsia="es-ES_tradnl"/>
              </w:rPr>
            </w:pPr>
          </w:p>
        </w:tc>
        <w:tc>
          <w:tcPr>
            <w:tcW w:w="1913" w:type="dxa"/>
            <w:vMerge/>
            <w:shd w:val="clear" w:color="auto" w:fill="auto"/>
          </w:tcPr>
          <w:p w14:paraId="4B756936" w14:textId="77777777" w:rsidR="0003664B" w:rsidRPr="0003664B" w:rsidRDefault="0003664B" w:rsidP="0003664B">
            <w:pPr>
              <w:rPr>
                <w:color w:val="000000"/>
                <w:lang w:eastAsia="es-ES_tradnl"/>
              </w:rPr>
            </w:pPr>
          </w:p>
        </w:tc>
        <w:tc>
          <w:tcPr>
            <w:tcW w:w="1979" w:type="dxa"/>
            <w:shd w:val="clear" w:color="auto" w:fill="auto"/>
          </w:tcPr>
          <w:p w14:paraId="33B0DA6F" w14:textId="77777777" w:rsidR="0003664B" w:rsidRPr="0003664B" w:rsidRDefault="0003664B" w:rsidP="0003664B">
            <w:pPr>
              <w:rPr>
                <w:color w:val="000000"/>
                <w:lang w:eastAsia="es-ES_tradnl"/>
              </w:rPr>
            </w:pPr>
            <w:r w:rsidRPr="0003664B">
              <w:rPr>
                <w:color w:val="000000"/>
                <w:lang w:eastAsia="es-ES_tradnl"/>
              </w:rPr>
              <w:t>Programas que no cuentan con egresados.</w:t>
            </w:r>
          </w:p>
          <w:p w14:paraId="725221C5" w14:textId="77777777" w:rsidR="0003664B" w:rsidRPr="0003664B" w:rsidRDefault="0003664B" w:rsidP="0003664B">
            <w:pPr>
              <w:rPr>
                <w:color w:val="000000"/>
                <w:lang w:eastAsia="es-ES_tradnl"/>
              </w:rPr>
            </w:pPr>
          </w:p>
        </w:tc>
      </w:tr>
    </w:tbl>
    <w:p w14:paraId="12964B86" w14:textId="0CF2613B" w:rsidR="004F0141" w:rsidRPr="009E3E75" w:rsidRDefault="00F10E7F" w:rsidP="00B94204">
      <w:pPr>
        <w:spacing w:line="360" w:lineRule="auto"/>
        <w:jc w:val="center"/>
        <w:rPr>
          <w:rFonts w:ascii="Arial" w:eastAsiaTheme="minorHAnsi" w:hAnsi="Arial" w:cs="Arial"/>
          <w:lang w:eastAsia="en-US"/>
        </w:rPr>
      </w:pPr>
      <w:r>
        <w:rPr>
          <w:color w:val="000000"/>
          <w:lang w:eastAsia="es-ES_tradnl"/>
        </w:rPr>
        <w:t xml:space="preserve">Fuente: </w:t>
      </w:r>
      <w:r w:rsidR="005F0820" w:rsidRPr="009E3E75">
        <w:rPr>
          <w:color w:val="000000"/>
          <w:lang w:eastAsia="es-ES_tradnl"/>
        </w:rPr>
        <w:t xml:space="preserve">Elaboración Propia (2021). Basada en </w:t>
      </w:r>
      <w:r w:rsidR="00D84DAF" w:rsidRPr="009E3E75">
        <w:rPr>
          <w:color w:val="000000"/>
          <w:lang w:eastAsia="es-ES_tradnl"/>
        </w:rPr>
        <w:t xml:space="preserve">Marco de referencia para la Evaluación y Seguimiento de Programas de Posgrados Presenciales. </w:t>
      </w:r>
      <w:r w:rsidR="005F0820" w:rsidRPr="009E3E75">
        <w:rPr>
          <w:color w:val="000000"/>
          <w:lang w:eastAsia="es-ES_tradnl"/>
        </w:rPr>
        <w:t xml:space="preserve"> CONACyT y Subsecretaría de Educación </w:t>
      </w:r>
      <w:r w:rsidR="002042FA" w:rsidRPr="009E3E75">
        <w:rPr>
          <w:color w:val="000000"/>
          <w:lang w:eastAsia="es-ES_tradnl"/>
        </w:rPr>
        <w:t>Superior</w:t>
      </w:r>
      <w:r w:rsidR="005F0820" w:rsidRPr="009E3E75">
        <w:rPr>
          <w:color w:val="000000"/>
          <w:lang w:eastAsia="es-ES_tradnl"/>
        </w:rPr>
        <w:t>, 2020)</w:t>
      </w:r>
    </w:p>
    <w:p w14:paraId="5CB78DDF" w14:textId="1A2BF12F" w:rsidR="004F0141" w:rsidRDefault="004F0141" w:rsidP="009E3E75">
      <w:pPr>
        <w:spacing w:line="360" w:lineRule="auto"/>
        <w:ind w:firstLine="709"/>
        <w:jc w:val="both"/>
        <w:rPr>
          <w:color w:val="000000"/>
          <w:lang w:eastAsia="es-ES_tradnl"/>
        </w:rPr>
      </w:pPr>
      <w:r w:rsidRPr="004F0141">
        <w:rPr>
          <w:color w:val="000000"/>
          <w:lang w:eastAsia="es-ES_tradnl"/>
        </w:rPr>
        <w:lastRenderedPageBreak/>
        <w:t>En el PNPC se señalan las dos orientaciones existentes en los posgrados (</w:t>
      </w:r>
      <w:r w:rsidR="002042FA" w:rsidRPr="002042FA">
        <w:rPr>
          <w:color w:val="000000"/>
          <w:lang w:eastAsia="es-ES_tradnl"/>
        </w:rPr>
        <w:t>Marco de referencia para la Evaluación y Seguimiento de Programas de Posgrados Presenciales</w:t>
      </w:r>
      <w:r w:rsidR="002042FA" w:rsidRPr="004F0141">
        <w:rPr>
          <w:color w:val="000000"/>
          <w:lang w:eastAsia="es-ES_tradnl"/>
        </w:rPr>
        <w:t xml:space="preserve"> </w:t>
      </w:r>
      <w:r w:rsidRPr="004F0141">
        <w:rPr>
          <w:color w:val="000000"/>
          <w:lang w:eastAsia="es-ES_tradnl"/>
        </w:rPr>
        <w:t xml:space="preserve">CONACyT y Subsecretaría de Educación </w:t>
      </w:r>
      <w:r w:rsidR="00F07C78">
        <w:rPr>
          <w:color w:val="000000"/>
          <w:lang w:eastAsia="es-ES_tradnl"/>
        </w:rPr>
        <w:t>Superior</w:t>
      </w:r>
      <w:r w:rsidRPr="004F0141">
        <w:rPr>
          <w:color w:val="000000"/>
          <w:lang w:eastAsia="es-ES_tradnl"/>
        </w:rPr>
        <w:t>, 2020)</w:t>
      </w:r>
      <w:r w:rsidR="000201A6">
        <w:rPr>
          <w:color w:val="000000"/>
          <w:lang w:eastAsia="es-ES_tradnl"/>
        </w:rPr>
        <w:t xml:space="preserve">: </w:t>
      </w:r>
    </w:p>
    <w:p w14:paraId="19FC6A3C" w14:textId="22931320" w:rsidR="00822C6B" w:rsidRDefault="00822C6B" w:rsidP="009E3E75">
      <w:pPr>
        <w:pStyle w:val="Prrafodelista"/>
        <w:numPr>
          <w:ilvl w:val="0"/>
          <w:numId w:val="11"/>
        </w:numPr>
        <w:spacing w:line="360" w:lineRule="auto"/>
        <w:jc w:val="both"/>
        <w:rPr>
          <w:rFonts w:ascii="Times New Roman" w:eastAsia="Times New Roman" w:hAnsi="Times New Roman" w:cs="Times New Roman"/>
          <w:color w:val="000000"/>
          <w:sz w:val="24"/>
          <w:szCs w:val="24"/>
          <w:lang w:eastAsia="es-ES_tradnl"/>
        </w:rPr>
      </w:pPr>
      <w:r w:rsidRPr="00822C6B">
        <w:rPr>
          <w:rFonts w:ascii="Times New Roman" w:eastAsia="Times New Roman" w:hAnsi="Times New Roman" w:cs="Times New Roman"/>
          <w:b/>
          <w:bCs/>
          <w:color w:val="000000"/>
          <w:sz w:val="24"/>
          <w:szCs w:val="24"/>
          <w:lang w:eastAsia="es-ES_tradnl"/>
        </w:rPr>
        <w:t>Posgrados con orientación a la investigación:</w:t>
      </w:r>
      <w:r>
        <w:rPr>
          <w:rFonts w:ascii="Times New Roman" w:eastAsia="Times New Roman" w:hAnsi="Times New Roman" w:cs="Times New Roman"/>
          <w:color w:val="000000"/>
          <w:sz w:val="24"/>
          <w:szCs w:val="24"/>
          <w:lang w:eastAsia="es-ES_tradnl"/>
        </w:rPr>
        <w:t xml:space="preserve"> El propósito es la formación de investigadores innovadores, críticos y creativos a través de investigaciones originales.</w:t>
      </w:r>
    </w:p>
    <w:p w14:paraId="723C744D" w14:textId="769FBDC4" w:rsidR="00822C6B" w:rsidRPr="00822C6B" w:rsidRDefault="00822C6B" w:rsidP="009E3E75">
      <w:pPr>
        <w:pStyle w:val="Prrafodelista"/>
        <w:numPr>
          <w:ilvl w:val="0"/>
          <w:numId w:val="11"/>
        </w:numPr>
        <w:spacing w:line="360" w:lineRule="auto"/>
        <w:jc w:val="both"/>
        <w:rPr>
          <w:rFonts w:ascii="Times New Roman" w:eastAsia="Times New Roman" w:hAnsi="Times New Roman" w:cs="Times New Roman"/>
          <w:color w:val="000000"/>
          <w:sz w:val="24"/>
          <w:szCs w:val="24"/>
          <w:lang w:eastAsia="es-ES_tradnl"/>
        </w:rPr>
      </w:pPr>
      <w:r w:rsidRPr="00822C6B">
        <w:rPr>
          <w:rFonts w:ascii="Times New Roman" w:eastAsia="Times New Roman" w:hAnsi="Times New Roman" w:cs="Times New Roman"/>
          <w:b/>
          <w:bCs/>
          <w:color w:val="000000"/>
          <w:sz w:val="24"/>
          <w:szCs w:val="24"/>
          <w:lang w:eastAsia="es-ES_tradnl"/>
        </w:rPr>
        <w:t xml:space="preserve">Posgrados con orientación </w:t>
      </w:r>
      <w:r>
        <w:rPr>
          <w:rFonts w:ascii="Times New Roman" w:eastAsia="Times New Roman" w:hAnsi="Times New Roman" w:cs="Times New Roman"/>
          <w:b/>
          <w:bCs/>
          <w:color w:val="000000"/>
          <w:sz w:val="24"/>
          <w:szCs w:val="24"/>
          <w:lang w:eastAsia="es-ES_tradnl"/>
        </w:rPr>
        <w:t>profesional</w:t>
      </w:r>
      <w:r w:rsidRPr="00822C6B">
        <w:rPr>
          <w:rFonts w:ascii="Times New Roman" w:eastAsia="Times New Roman" w:hAnsi="Times New Roman" w:cs="Times New Roman"/>
          <w:b/>
          <w:bCs/>
          <w:color w:val="000000"/>
          <w:sz w:val="24"/>
          <w:szCs w:val="24"/>
          <w:lang w:eastAsia="es-ES_tradnl"/>
        </w:rPr>
        <w:t>:</w:t>
      </w:r>
      <w:r>
        <w:rPr>
          <w:rFonts w:ascii="Times New Roman" w:eastAsia="Times New Roman" w:hAnsi="Times New Roman" w:cs="Times New Roman"/>
          <w:color w:val="000000"/>
          <w:sz w:val="24"/>
          <w:szCs w:val="24"/>
          <w:lang w:eastAsia="es-ES_tradnl"/>
        </w:rPr>
        <w:t xml:space="preserve"> El propósito es profundizar en un campo profesional para atender la demanda potencial del mercado laboral y de impacto inmediato al sector de incidencia.</w:t>
      </w:r>
    </w:p>
    <w:p w14:paraId="0327F109" w14:textId="3A44581B" w:rsidR="0081433E" w:rsidRDefault="0081433E" w:rsidP="009E3E75">
      <w:pPr>
        <w:spacing w:line="360" w:lineRule="auto"/>
        <w:ind w:firstLine="709"/>
        <w:jc w:val="both"/>
        <w:rPr>
          <w:color w:val="000000"/>
          <w:lang w:eastAsia="es-ES_tradnl"/>
        </w:rPr>
      </w:pPr>
      <w:r w:rsidRPr="0081433E">
        <w:rPr>
          <w:color w:val="000000"/>
          <w:lang w:eastAsia="es-ES_tradnl"/>
        </w:rPr>
        <w:t xml:space="preserve">El CONACyT y </w:t>
      </w:r>
      <w:r w:rsidR="00F642C5">
        <w:rPr>
          <w:color w:val="000000"/>
          <w:lang w:eastAsia="es-ES_tradnl"/>
        </w:rPr>
        <w:t xml:space="preserve">en los </w:t>
      </w:r>
      <w:r w:rsidR="00F642C5" w:rsidRPr="00F642C5">
        <w:rPr>
          <w:lang w:eastAsia="es-ES_tradnl"/>
        </w:rPr>
        <w:t>Documentos del PNPC. Fundamentos sobre calidad Educativa en la Modalidad No Escolarizada</w:t>
      </w:r>
      <w:r w:rsidR="00F642C5">
        <w:rPr>
          <w:lang w:eastAsia="es-ES_tradnl"/>
        </w:rPr>
        <w:t xml:space="preserve"> de </w:t>
      </w:r>
      <w:r w:rsidR="00F642C5" w:rsidRPr="0081433E">
        <w:rPr>
          <w:color w:val="000000"/>
          <w:lang w:eastAsia="es-ES_tradnl"/>
        </w:rPr>
        <w:t xml:space="preserve"> </w:t>
      </w:r>
      <w:r w:rsidRPr="0081433E">
        <w:rPr>
          <w:color w:val="000000"/>
          <w:lang w:eastAsia="es-ES_tradnl"/>
        </w:rPr>
        <w:t xml:space="preserve">la Secretaría de Educación </w:t>
      </w:r>
      <w:r w:rsidR="00F07C78">
        <w:rPr>
          <w:color w:val="000000"/>
          <w:lang w:eastAsia="es-ES_tradnl"/>
        </w:rPr>
        <w:t>Superior</w:t>
      </w:r>
      <w:r w:rsidRPr="0081433E">
        <w:rPr>
          <w:color w:val="000000"/>
          <w:lang w:eastAsia="es-ES_tradnl"/>
        </w:rPr>
        <w:t xml:space="preserve"> (2014) señalan a la modalidad no escolarizada como estrategia para apoyar el aprendizaje de estudiantes y ampliar las competencias para la vida, promoviendo “la educación abierta y a distancia con criterios y estándares de calidad e innovación permanentes con especial énfasis en la atención de regiones y grupos que carecen de acceso a servicios escolarizados”.</w:t>
      </w:r>
    </w:p>
    <w:p w14:paraId="02038002" w14:textId="18B2133C" w:rsidR="00EF6346" w:rsidRPr="00FA1CFA" w:rsidRDefault="0081433E" w:rsidP="009E3E75">
      <w:pPr>
        <w:spacing w:line="360" w:lineRule="auto"/>
        <w:ind w:firstLine="709"/>
        <w:jc w:val="both"/>
        <w:rPr>
          <w:color w:val="000000"/>
          <w:lang w:eastAsia="es-ES_tradnl"/>
        </w:rPr>
      </w:pPr>
      <w:r w:rsidRPr="0081433E">
        <w:rPr>
          <w:color w:val="000000"/>
          <w:lang w:eastAsia="es-ES_tradnl"/>
        </w:rPr>
        <w:t xml:space="preserve">Para la evaluación de los programas de posgrado en modalidad No </w:t>
      </w:r>
      <w:r w:rsidR="000C6136">
        <w:rPr>
          <w:color w:val="000000"/>
          <w:lang w:eastAsia="es-ES_tradnl"/>
        </w:rPr>
        <w:t>escolarizados</w:t>
      </w:r>
      <w:r w:rsidRPr="0081433E">
        <w:rPr>
          <w:color w:val="000000"/>
          <w:lang w:eastAsia="es-ES_tradnl"/>
        </w:rPr>
        <w:t>, el PNPC (</w:t>
      </w:r>
      <w:r w:rsidR="000C6136" w:rsidRPr="000C6136">
        <w:rPr>
          <w:lang w:eastAsia="es-ES_tradnl"/>
        </w:rPr>
        <w:t>Documentos del PNPC. Fundamentos sobre calidad Educativa en la Modalidad No Escolarizad</w:t>
      </w:r>
      <w:r w:rsidR="000C6136">
        <w:rPr>
          <w:lang w:eastAsia="es-ES_tradnl"/>
        </w:rPr>
        <w:t xml:space="preserve">a, </w:t>
      </w:r>
      <w:r w:rsidRPr="0081433E">
        <w:rPr>
          <w:color w:val="000000"/>
          <w:lang w:eastAsia="es-ES_tradnl"/>
        </w:rPr>
        <w:t xml:space="preserve">CONACyT y Subsecretaría de Educación </w:t>
      </w:r>
      <w:r w:rsidR="000C6136">
        <w:rPr>
          <w:color w:val="000000"/>
          <w:lang w:eastAsia="es-ES_tradnl"/>
        </w:rPr>
        <w:t>Superior</w:t>
      </w:r>
      <w:r w:rsidRPr="0081433E">
        <w:rPr>
          <w:color w:val="000000"/>
          <w:lang w:eastAsia="es-ES_tradnl"/>
        </w:rPr>
        <w:t>, s.f.</w:t>
      </w:r>
      <w:r w:rsidR="004C773F">
        <w:rPr>
          <w:color w:val="000000"/>
          <w:lang w:eastAsia="es-ES_tradnl"/>
        </w:rPr>
        <w:t xml:space="preserve"> 2020</w:t>
      </w:r>
      <w:r w:rsidRPr="0081433E">
        <w:rPr>
          <w:color w:val="000000"/>
          <w:lang w:eastAsia="es-ES_tradnl"/>
        </w:rPr>
        <w:t xml:space="preserve">) considera 14 criterios (figura </w:t>
      </w:r>
      <w:r w:rsidR="00B93C81">
        <w:rPr>
          <w:color w:val="000000"/>
          <w:lang w:eastAsia="es-ES_tradnl"/>
        </w:rPr>
        <w:t>1</w:t>
      </w:r>
      <w:r w:rsidRPr="0081433E">
        <w:rPr>
          <w:color w:val="000000"/>
          <w:lang w:eastAsia="es-ES_tradnl"/>
        </w:rPr>
        <w:t>) con los indicadores (factores que se serán evaluados) y los medios de verificación (evidencias de cumplimiento de los indicadores).</w:t>
      </w:r>
    </w:p>
    <w:p w14:paraId="076ED82C" w14:textId="77777777" w:rsidR="00EF6346" w:rsidRDefault="00EF6346" w:rsidP="005F0820">
      <w:pPr>
        <w:rPr>
          <w:b/>
          <w:bCs/>
          <w:color w:val="000000"/>
          <w:sz w:val="20"/>
          <w:szCs w:val="20"/>
          <w:lang w:eastAsia="es-ES_tradnl"/>
        </w:rPr>
      </w:pPr>
    </w:p>
    <w:p w14:paraId="093A8251" w14:textId="0B3FC1AD" w:rsidR="0081433E" w:rsidRPr="009E3E75" w:rsidRDefault="0081433E" w:rsidP="009E3E75">
      <w:pPr>
        <w:jc w:val="center"/>
        <w:rPr>
          <w:color w:val="000000"/>
          <w:lang w:eastAsia="es-ES_tradnl"/>
        </w:rPr>
      </w:pPr>
      <w:r w:rsidRPr="009E3E75">
        <w:rPr>
          <w:b/>
          <w:bCs/>
          <w:color w:val="000000"/>
          <w:lang w:eastAsia="es-ES_tradnl"/>
        </w:rPr>
        <w:t xml:space="preserve">Figura </w:t>
      </w:r>
      <w:r w:rsidR="00B93C81">
        <w:rPr>
          <w:b/>
          <w:bCs/>
          <w:color w:val="000000"/>
          <w:lang w:eastAsia="es-ES_tradnl"/>
        </w:rPr>
        <w:t>1</w:t>
      </w:r>
      <w:r w:rsidRPr="009E3E75">
        <w:rPr>
          <w:color w:val="000000"/>
          <w:lang w:eastAsia="es-ES_tradnl"/>
        </w:rPr>
        <w:t>. Criterios de evaluación de programas de posgrado no escolarizados PNPC</w:t>
      </w:r>
    </w:p>
    <w:p w14:paraId="6DCCF58B" w14:textId="77777777" w:rsidR="005F0820" w:rsidRDefault="0081433E" w:rsidP="005F0820">
      <w:pPr>
        <w:jc w:val="center"/>
        <w:rPr>
          <w:color w:val="000000"/>
          <w:lang w:eastAsia="es-ES_tradnl"/>
        </w:rPr>
      </w:pPr>
      <w:r w:rsidRPr="00413F4E">
        <w:rPr>
          <w:rFonts w:ascii="Arial" w:eastAsiaTheme="minorHAnsi" w:hAnsi="Arial" w:cs="Arial"/>
          <w:noProof/>
          <w:lang w:eastAsia="en-US"/>
        </w:rPr>
        <w:drawing>
          <wp:inline distT="0" distB="0" distL="0" distR="0" wp14:anchorId="0A7FDCDB" wp14:editId="187653FE">
            <wp:extent cx="5487359" cy="2507198"/>
            <wp:effectExtent l="0" t="0" r="0" b="0"/>
            <wp:docPr id="5" name="Imagen 5"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iterios-PNPC-no-escolarizados.png"/>
                    <pic:cNvPicPr/>
                  </pic:nvPicPr>
                  <pic:blipFill rotWithShape="1">
                    <a:blip r:embed="rId8">
                      <a:extLst>
                        <a:ext uri="{28A0092B-C50C-407E-A947-70E740481C1C}">
                          <a14:useLocalDpi xmlns:a14="http://schemas.microsoft.com/office/drawing/2010/main" val="0"/>
                        </a:ext>
                      </a:extLst>
                    </a:blip>
                    <a:srcRect l="10862" r="11914" b="17622"/>
                    <a:stretch/>
                  </pic:blipFill>
                  <pic:spPr bwMode="auto">
                    <a:xfrm>
                      <a:off x="0" y="0"/>
                      <a:ext cx="5613031" cy="2564618"/>
                    </a:xfrm>
                    <a:prstGeom prst="rect">
                      <a:avLst/>
                    </a:prstGeom>
                    <a:ln>
                      <a:noFill/>
                    </a:ln>
                    <a:extLst>
                      <a:ext uri="{53640926-AAD7-44D8-BBD7-CCE9431645EC}">
                        <a14:shadowObscured xmlns:a14="http://schemas.microsoft.com/office/drawing/2010/main"/>
                      </a:ext>
                    </a:extLst>
                  </pic:spPr>
                </pic:pic>
              </a:graphicData>
            </a:graphic>
          </wp:inline>
        </w:drawing>
      </w:r>
    </w:p>
    <w:p w14:paraId="710F1E74" w14:textId="480F144E" w:rsidR="000201A6" w:rsidRPr="00020E9E" w:rsidRDefault="00020E9E" w:rsidP="009E3E75">
      <w:pPr>
        <w:spacing w:line="360" w:lineRule="auto"/>
        <w:jc w:val="center"/>
        <w:rPr>
          <w:color w:val="000000"/>
          <w:sz w:val="32"/>
          <w:szCs w:val="32"/>
          <w:lang w:eastAsia="es-ES_tradnl"/>
        </w:rPr>
      </w:pPr>
      <w:r>
        <w:rPr>
          <w:color w:val="000000"/>
          <w:lang w:eastAsia="es-ES_tradnl"/>
        </w:rPr>
        <w:t>Fuente:</w:t>
      </w:r>
      <w:r w:rsidR="000201A6" w:rsidRPr="00020E9E">
        <w:rPr>
          <w:color w:val="000000"/>
          <w:lang w:eastAsia="es-ES_tradnl"/>
        </w:rPr>
        <w:t>Elaboración propia basada en Instrumento para la evaluación de seguimiento del PNPC Posgrados No Escolarizados, CONACyT y Subsecretaría de Educación Superior. (s.f.)</w:t>
      </w:r>
    </w:p>
    <w:p w14:paraId="6E3617DF" w14:textId="573E623B" w:rsidR="0081433E" w:rsidRPr="0081433E" w:rsidRDefault="0081433E" w:rsidP="009E3E75">
      <w:pPr>
        <w:spacing w:line="360" w:lineRule="auto"/>
        <w:ind w:firstLine="709"/>
        <w:jc w:val="both"/>
        <w:rPr>
          <w:color w:val="000000"/>
          <w:lang w:eastAsia="es-ES_tradnl"/>
        </w:rPr>
      </w:pPr>
      <w:r w:rsidRPr="0081433E">
        <w:rPr>
          <w:color w:val="000000"/>
          <w:lang w:eastAsia="es-ES_tradnl"/>
        </w:rPr>
        <w:lastRenderedPageBreak/>
        <w:t xml:space="preserve">A continuación, se presenta la descripción de </w:t>
      </w:r>
      <w:r w:rsidR="00EF6346">
        <w:rPr>
          <w:color w:val="000000"/>
          <w:lang w:eastAsia="es-ES_tradnl"/>
        </w:rPr>
        <w:t xml:space="preserve">unicamente </w:t>
      </w:r>
      <w:r w:rsidRPr="0081433E">
        <w:rPr>
          <w:color w:val="000000"/>
          <w:lang w:eastAsia="es-ES_tradnl"/>
        </w:rPr>
        <w:t xml:space="preserve">los criterios considerados </w:t>
      </w:r>
      <w:r w:rsidR="00EF6346">
        <w:rPr>
          <w:color w:val="000000"/>
          <w:lang w:eastAsia="es-ES_tradnl"/>
        </w:rPr>
        <w:t xml:space="preserve">en esta investigación </w:t>
      </w:r>
      <w:r w:rsidRPr="0081433E">
        <w:rPr>
          <w:color w:val="000000"/>
          <w:lang w:eastAsia="es-ES_tradnl"/>
        </w:rPr>
        <w:t>para la evaluación de los programas de posgrado no escolarizados contenidos en el PNPC (</w:t>
      </w:r>
      <w:r w:rsidR="00F642C5" w:rsidRPr="00F642C5">
        <w:rPr>
          <w:lang w:eastAsia="es-ES_tradnl"/>
        </w:rPr>
        <w:t>Instrumento para la evaluación de seguimiento del PNPC Posgrados No Escolarizados,</w:t>
      </w:r>
      <w:r w:rsidR="00F642C5">
        <w:rPr>
          <w:lang w:eastAsia="es-ES_tradnl"/>
        </w:rPr>
        <w:t xml:space="preserve"> </w:t>
      </w:r>
      <w:r w:rsidRPr="0081433E">
        <w:rPr>
          <w:color w:val="000000"/>
          <w:lang w:eastAsia="es-ES_tradnl"/>
        </w:rPr>
        <w:t xml:space="preserve">CONACyT y Subsecretaría de Educación </w:t>
      </w:r>
      <w:r w:rsidR="004C773F">
        <w:rPr>
          <w:color w:val="000000"/>
          <w:lang w:eastAsia="es-ES_tradnl"/>
        </w:rPr>
        <w:t xml:space="preserve">Superior </w:t>
      </w:r>
      <w:r w:rsidRPr="0081433E">
        <w:rPr>
          <w:color w:val="000000"/>
          <w:lang w:eastAsia="es-ES_tradnl"/>
        </w:rPr>
        <w:t>, s.f.):</w:t>
      </w:r>
    </w:p>
    <w:p w14:paraId="18D56968" w14:textId="65FAFF55" w:rsidR="0081433E" w:rsidRPr="0081433E" w:rsidRDefault="0081433E" w:rsidP="009E3E75">
      <w:pPr>
        <w:numPr>
          <w:ilvl w:val="0"/>
          <w:numId w:val="10"/>
        </w:numPr>
        <w:spacing w:after="160" w:line="360" w:lineRule="auto"/>
        <w:ind w:left="397"/>
        <w:contextualSpacing/>
        <w:jc w:val="both"/>
        <w:rPr>
          <w:color w:val="000000"/>
          <w:lang w:eastAsia="es-ES_tradnl"/>
        </w:rPr>
      </w:pPr>
      <w:r w:rsidRPr="0081433E">
        <w:rPr>
          <w:b/>
          <w:bCs/>
          <w:color w:val="000000"/>
          <w:lang w:eastAsia="es-ES_tradnl"/>
        </w:rPr>
        <w:t>Plan de estudios</w:t>
      </w:r>
    </w:p>
    <w:p w14:paraId="0F6107F5" w14:textId="21F5A4AD" w:rsidR="0081433E" w:rsidRPr="0081433E" w:rsidRDefault="0081433E" w:rsidP="009E3E75">
      <w:pPr>
        <w:numPr>
          <w:ilvl w:val="0"/>
          <w:numId w:val="10"/>
        </w:numPr>
        <w:spacing w:after="160" w:line="360" w:lineRule="auto"/>
        <w:ind w:left="397"/>
        <w:contextualSpacing/>
        <w:jc w:val="both"/>
        <w:rPr>
          <w:color w:val="000000"/>
          <w:lang w:eastAsia="es-ES_tradnl"/>
        </w:rPr>
      </w:pPr>
      <w:r w:rsidRPr="0081433E">
        <w:rPr>
          <w:b/>
          <w:bCs/>
          <w:color w:val="000000"/>
          <w:lang w:eastAsia="es-ES_tradnl"/>
        </w:rPr>
        <w:t>Proceso de Enseñanza Aprendizaje:</w:t>
      </w:r>
      <w:r w:rsidRPr="0081433E">
        <w:rPr>
          <w:color w:val="000000"/>
          <w:lang w:eastAsia="es-ES_tradnl"/>
        </w:rPr>
        <w:t xml:space="preserve"> Procedimientos y mecanismos que aseguren que el diseño instruccional es sistemático, planificado y estructurado; produce materiales educativos y recursos de aprendizaje. Estos materiales y recursos están disponibles con anticipación y son adecuados a las necesidades de los estudiantes bajo un proceso permanente de mejora.</w:t>
      </w:r>
    </w:p>
    <w:p w14:paraId="421C6ADA" w14:textId="63F59805" w:rsidR="0081433E" w:rsidRPr="0081433E" w:rsidRDefault="0081433E" w:rsidP="009E3E75">
      <w:pPr>
        <w:numPr>
          <w:ilvl w:val="0"/>
          <w:numId w:val="10"/>
        </w:numPr>
        <w:spacing w:after="160" w:line="360" w:lineRule="auto"/>
        <w:ind w:left="397"/>
        <w:contextualSpacing/>
        <w:jc w:val="both"/>
        <w:rPr>
          <w:color w:val="000000"/>
          <w:lang w:eastAsia="es-ES_tradnl"/>
        </w:rPr>
      </w:pPr>
      <w:r w:rsidRPr="0081433E">
        <w:rPr>
          <w:b/>
          <w:bCs/>
          <w:color w:val="000000"/>
          <w:lang w:eastAsia="es-ES_tradnl"/>
        </w:rPr>
        <w:t>Proceso de selección de estudiantes</w:t>
      </w:r>
      <w:r w:rsidRPr="0081433E">
        <w:rPr>
          <w:color w:val="000000"/>
          <w:lang w:eastAsia="es-ES_tradnl"/>
        </w:rPr>
        <w:t>.</w:t>
      </w:r>
    </w:p>
    <w:p w14:paraId="369BA249" w14:textId="6A84A8E0" w:rsidR="0081433E" w:rsidRPr="0081433E" w:rsidRDefault="0081433E" w:rsidP="009E3E75">
      <w:pPr>
        <w:numPr>
          <w:ilvl w:val="0"/>
          <w:numId w:val="10"/>
        </w:numPr>
        <w:spacing w:after="160" w:line="360" w:lineRule="auto"/>
        <w:ind w:left="397"/>
        <w:contextualSpacing/>
        <w:jc w:val="both"/>
        <w:rPr>
          <w:color w:val="000000"/>
          <w:lang w:eastAsia="es-ES_tradnl"/>
        </w:rPr>
      </w:pPr>
      <w:r w:rsidRPr="0081433E">
        <w:rPr>
          <w:b/>
          <w:bCs/>
          <w:color w:val="000000"/>
          <w:lang w:eastAsia="es-ES_tradnl"/>
        </w:rPr>
        <w:t>Seguimiento de la trayectoria académica, tutorías y dirección de tesis</w:t>
      </w:r>
      <w:r w:rsidR="00EF6346">
        <w:rPr>
          <w:color w:val="000000"/>
          <w:lang w:eastAsia="es-ES_tradnl"/>
        </w:rPr>
        <w:t>.</w:t>
      </w:r>
    </w:p>
    <w:p w14:paraId="2C4A8C22" w14:textId="7FCB49BE" w:rsidR="0081433E" w:rsidRPr="0081433E" w:rsidRDefault="0081433E" w:rsidP="009E3E75">
      <w:pPr>
        <w:numPr>
          <w:ilvl w:val="0"/>
          <w:numId w:val="10"/>
        </w:numPr>
        <w:spacing w:after="160" w:line="360" w:lineRule="auto"/>
        <w:ind w:left="397"/>
        <w:contextualSpacing/>
        <w:jc w:val="both"/>
        <w:rPr>
          <w:color w:val="000000"/>
          <w:lang w:eastAsia="es-ES_tradnl"/>
        </w:rPr>
      </w:pPr>
      <w:r w:rsidRPr="0081433E">
        <w:rPr>
          <w:b/>
          <w:bCs/>
          <w:color w:val="000000"/>
          <w:lang w:eastAsia="es-ES_tradnl"/>
        </w:rPr>
        <w:t>Núcleo académico</w:t>
      </w:r>
      <w:r w:rsidR="00EF6346">
        <w:rPr>
          <w:b/>
          <w:bCs/>
          <w:color w:val="000000"/>
          <w:lang w:eastAsia="es-ES_tradnl"/>
        </w:rPr>
        <w:t>.</w:t>
      </w:r>
    </w:p>
    <w:p w14:paraId="5E661F9A" w14:textId="34D8F5FC" w:rsidR="0081433E" w:rsidRPr="0081433E" w:rsidRDefault="0081433E" w:rsidP="009E3E75">
      <w:pPr>
        <w:numPr>
          <w:ilvl w:val="0"/>
          <w:numId w:val="10"/>
        </w:numPr>
        <w:spacing w:after="160" w:line="360" w:lineRule="auto"/>
        <w:ind w:left="397"/>
        <w:contextualSpacing/>
        <w:jc w:val="both"/>
        <w:rPr>
          <w:color w:val="000000"/>
          <w:lang w:eastAsia="es-ES_tradnl"/>
        </w:rPr>
      </w:pPr>
      <w:r w:rsidRPr="0081433E">
        <w:rPr>
          <w:b/>
          <w:bCs/>
          <w:color w:val="000000"/>
          <w:lang w:eastAsia="es-ES_tradnl"/>
        </w:rPr>
        <w:t>Líneas de generación y/o aplicación del conocimiento (LGAC</w:t>
      </w:r>
      <w:r w:rsidRPr="0081433E">
        <w:rPr>
          <w:color w:val="000000"/>
          <w:lang w:eastAsia="es-ES_tradnl"/>
        </w:rPr>
        <w:t>.</w:t>
      </w:r>
    </w:p>
    <w:p w14:paraId="4A3F8455" w14:textId="53093C04" w:rsidR="0081433E" w:rsidRPr="0081433E" w:rsidRDefault="0081433E" w:rsidP="009E3E75">
      <w:pPr>
        <w:numPr>
          <w:ilvl w:val="0"/>
          <w:numId w:val="10"/>
        </w:numPr>
        <w:spacing w:after="160" w:line="360" w:lineRule="auto"/>
        <w:ind w:left="397"/>
        <w:contextualSpacing/>
        <w:jc w:val="both"/>
        <w:rPr>
          <w:color w:val="000000"/>
          <w:lang w:eastAsia="es-ES_tradnl"/>
        </w:rPr>
      </w:pPr>
      <w:r w:rsidRPr="0081433E">
        <w:rPr>
          <w:b/>
          <w:bCs/>
          <w:color w:val="000000"/>
          <w:lang w:eastAsia="es-ES_tradnl"/>
        </w:rPr>
        <w:t>Infraestructura:</w:t>
      </w:r>
      <w:r w:rsidRPr="0081433E">
        <w:rPr>
          <w:color w:val="000000"/>
          <w:lang w:eastAsia="es-ES_tradnl"/>
        </w:rPr>
        <w:t xml:space="preserve"> El programa garantiza la disponibilidad de la infraestructura en Tecnologías de la Información y Comunicación (TIC) acordes a la demanda y conforme a los requerimientos que se establezcan para el adecuado funcionamiento de un programa de esta naturaleza. Además, se han implementado acciones estratégicas para asegurar la disponibilidad permanente de la plataforma educativa, así como de soporte técnico, atender las responsabilidades técnicas y consolidar la mejora de la infraestructura.</w:t>
      </w:r>
    </w:p>
    <w:p w14:paraId="6D12FA9D" w14:textId="0261970C" w:rsidR="0081433E" w:rsidRPr="0081433E" w:rsidRDefault="0081433E" w:rsidP="009E3E75">
      <w:pPr>
        <w:numPr>
          <w:ilvl w:val="0"/>
          <w:numId w:val="10"/>
        </w:numPr>
        <w:spacing w:after="160" w:line="360" w:lineRule="auto"/>
        <w:ind w:left="397"/>
        <w:contextualSpacing/>
        <w:rPr>
          <w:color w:val="000000"/>
          <w:lang w:eastAsia="es-ES_tradnl"/>
        </w:rPr>
      </w:pPr>
      <w:r w:rsidRPr="0081433E">
        <w:rPr>
          <w:b/>
          <w:bCs/>
          <w:color w:val="000000"/>
          <w:lang w:eastAsia="es-ES_tradnl"/>
        </w:rPr>
        <w:t>Efectividad del posgrado</w:t>
      </w:r>
      <w:r w:rsidRPr="0081433E">
        <w:rPr>
          <w:color w:val="000000"/>
          <w:lang w:eastAsia="es-ES_tradnl"/>
        </w:rPr>
        <w:t>.</w:t>
      </w:r>
    </w:p>
    <w:p w14:paraId="7DD97528" w14:textId="74EC5A4F" w:rsidR="0081433E" w:rsidRPr="0081433E" w:rsidRDefault="0081433E" w:rsidP="009E3E75">
      <w:pPr>
        <w:numPr>
          <w:ilvl w:val="0"/>
          <w:numId w:val="10"/>
        </w:numPr>
        <w:spacing w:after="160" w:line="360" w:lineRule="auto"/>
        <w:ind w:left="397"/>
        <w:contextualSpacing/>
        <w:jc w:val="both"/>
        <w:rPr>
          <w:color w:val="000000"/>
          <w:lang w:eastAsia="es-ES_tradnl"/>
        </w:rPr>
      </w:pPr>
      <w:r w:rsidRPr="0081433E">
        <w:rPr>
          <w:b/>
          <w:bCs/>
          <w:color w:val="000000"/>
          <w:lang w:eastAsia="es-ES_tradnl"/>
        </w:rPr>
        <w:t>Calidad y pertinencia de la tesis o trabajo terminal</w:t>
      </w:r>
      <w:r w:rsidRPr="0081433E">
        <w:rPr>
          <w:color w:val="000000"/>
          <w:lang w:eastAsia="es-ES_tradnl"/>
        </w:rPr>
        <w:t>.</w:t>
      </w:r>
    </w:p>
    <w:p w14:paraId="63F47DB6" w14:textId="2A517653" w:rsidR="0081433E" w:rsidRPr="0081433E" w:rsidRDefault="0081433E" w:rsidP="009E3E75">
      <w:pPr>
        <w:numPr>
          <w:ilvl w:val="0"/>
          <w:numId w:val="10"/>
        </w:numPr>
        <w:spacing w:after="160" w:line="360" w:lineRule="auto"/>
        <w:ind w:left="397"/>
        <w:contextualSpacing/>
        <w:jc w:val="both"/>
        <w:rPr>
          <w:color w:val="000000"/>
          <w:lang w:eastAsia="es-ES_tradnl"/>
        </w:rPr>
      </w:pPr>
      <w:r w:rsidRPr="0081433E">
        <w:rPr>
          <w:b/>
          <w:bCs/>
          <w:color w:val="000000"/>
          <w:lang w:eastAsia="es-ES_tradnl"/>
        </w:rPr>
        <w:t>Productividad académica del programa</w:t>
      </w:r>
      <w:r w:rsidRPr="0081433E">
        <w:rPr>
          <w:color w:val="000000"/>
          <w:lang w:eastAsia="es-ES_tradnl"/>
        </w:rPr>
        <w:t>.</w:t>
      </w:r>
    </w:p>
    <w:p w14:paraId="2C0E0BA2" w14:textId="12350EAB" w:rsidR="0081433E" w:rsidRPr="0081433E" w:rsidRDefault="0081433E" w:rsidP="009E3E75">
      <w:pPr>
        <w:numPr>
          <w:ilvl w:val="0"/>
          <w:numId w:val="10"/>
        </w:numPr>
        <w:spacing w:after="160" w:line="360" w:lineRule="auto"/>
        <w:ind w:left="397"/>
        <w:contextualSpacing/>
        <w:jc w:val="both"/>
        <w:rPr>
          <w:color w:val="000000"/>
          <w:lang w:eastAsia="es-ES_tradnl"/>
        </w:rPr>
      </w:pPr>
      <w:r w:rsidRPr="0081433E">
        <w:rPr>
          <w:b/>
          <w:bCs/>
          <w:color w:val="000000"/>
          <w:lang w:eastAsia="es-ES_tradnl"/>
        </w:rPr>
        <w:t>Redes de egresados</w:t>
      </w:r>
      <w:r w:rsidRPr="0081433E">
        <w:rPr>
          <w:color w:val="000000"/>
          <w:lang w:eastAsia="es-ES_tradnl"/>
        </w:rPr>
        <w:t>.</w:t>
      </w:r>
    </w:p>
    <w:p w14:paraId="2361884C" w14:textId="188078A9" w:rsidR="0081433E" w:rsidRPr="0081433E" w:rsidRDefault="0081433E" w:rsidP="009E3E75">
      <w:pPr>
        <w:numPr>
          <w:ilvl w:val="0"/>
          <w:numId w:val="10"/>
        </w:numPr>
        <w:spacing w:after="160" w:line="360" w:lineRule="auto"/>
        <w:ind w:left="397"/>
        <w:contextualSpacing/>
        <w:jc w:val="both"/>
        <w:rPr>
          <w:color w:val="000000"/>
          <w:lang w:eastAsia="es-ES_tradnl"/>
        </w:rPr>
      </w:pPr>
      <w:r w:rsidRPr="0081433E">
        <w:rPr>
          <w:b/>
          <w:bCs/>
          <w:color w:val="000000"/>
          <w:lang w:eastAsia="es-ES_tradnl"/>
        </w:rPr>
        <w:t>Acciones de colaboración con los sectores de la sociedad</w:t>
      </w:r>
      <w:r w:rsidRPr="0081433E">
        <w:rPr>
          <w:color w:val="000000"/>
          <w:lang w:eastAsia="es-ES_tradnl"/>
        </w:rPr>
        <w:t>.</w:t>
      </w:r>
    </w:p>
    <w:p w14:paraId="28C8BE46" w14:textId="13A1AA43" w:rsidR="0081433E" w:rsidRPr="0081433E" w:rsidRDefault="0081433E" w:rsidP="009E3E75">
      <w:pPr>
        <w:numPr>
          <w:ilvl w:val="0"/>
          <w:numId w:val="10"/>
        </w:numPr>
        <w:spacing w:after="160" w:line="360" w:lineRule="auto"/>
        <w:ind w:left="397"/>
        <w:contextualSpacing/>
        <w:jc w:val="both"/>
        <w:rPr>
          <w:color w:val="000000"/>
          <w:lang w:eastAsia="es-ES_tradnl"/>
        </w:rPr>
      </w:pPr>
      <w:r w:rsidRPr="0081433E">
        <w:rPr>
          <w:b/>
          <w:bCs/>
          <w:color w:val="000000"/>
          <w:lang w:eastAsia="es-ES_tradnl"/>
        </w:rPr>
        <w:t>Cumplimiento de las recomendaciones de la última evaluación</w:t>
      </w:r>
      <w:r w:rsidRPr="0081433E">
        <w:rPr>
          <w:color w:val="000000"/>
          <w:lang w:eastAsia="es-ES_tradnl"/>
        </w:rPr>
        <w:t>.</w:t>
      </w:r>
    </w:p>
    <w:p w14:paraId="36A80953" w14:textId="3C0D8F07" w:rsidR="00DF280E" w:rsidRDefault="0081433E" w:rsidP="009E3E75">
      <w:pPr>
        <w:numPr>
          <w:ilvl w:val="0"/>
          <w:numId w:val="10"/>
        </w:numPr>
        <w:spacing w:after="160" w:line="360" w:lineRule="auto"/>
        <w:ind w:left="397"/>
        <w:contextualSpacing/>
        <w:jc w:val="both"/>
        <w:rPr>
          <w:color w:val="000000"/>
          <w:lang w:eastAsia="es-ES_tradnl"/>
        </w:rPr>
      </w:pPr>
      <w:r w:rsidRPr="0081433E">
        <w:rPr>
          <w:b/>
          <w:bCs/>
          <w:color w:val="000000"/>
          <w:lang w:eastAsia="es-ES_tradnl"/>
        </w:rPr>
        <w:t>Plan de mejora</w:t>
      </w:r>
      <w:r w:rsidRPr="0081433E">
        <w:rPr>
          <w:color w:val="000000"/>
          <w:lang w:eastAsia="es-ES_tradnl"/>
        </w:rPr>
        <w:t>.</w:t>
      </w:r>
    </w:p>
    <w:p w14:paraId="45FED271" w14:textId="4E89367A" w:rsidR="00DF280E" w:rsidRPr="00DF280E" w:rsidRDefault="00DF280E" w:rsidP="009E3E75">
      <w:pPr>
        <w:spacing w:after="160" w:line="360" w:lineRule="auto"/>
        <w:ind w:left="37" w:firstLine="530"/>
        <w:contextualSpacing/>
        <w:jc w:val="both"/>
        <w:rPr>
          <w:color w:val="000000"/>
          <w:lang w:eastAsia="es-ES_tradnl"/>
        </w:rPr>
      </w:pPr>
      <w:r>
        <w:rPr>
          <w:color w:val="000000"/>
          <w:lang w:eastAsia="es-ES_tradnl"/>
        </w:rPr>
        <w:t xml:space="preserve">La </w:t>
      </w:r>
      <w:r w:rsidR="001151F0">
        <w:rPr>
          <w:color w:val="000000"/>
          <w:lang w:eastAsia="es-ES_tradnl"/>
        </w:rPr>
        <w:t>Institución de Esfducación Superior estudiada</w:t>
      </w:r>
      <w:r>
        <w:rPr>
          <w:color w:val="000000"/>
          <w:lang w:eastAsia="es-ES_tradnl"/>
        </w:rPr>
        <w:t xml:space="preserve"> oferta seis programas de posgrado:</w:t>
      </w:r>
      <w:r w:rsidR="00BA3647">
        <w:rPr>
          <w:color w:val="000000"/>
          <w:lang w:eastAsia="es-ES_tradnl"/>
        </w:rPr>
        <w:t xml:space="preserve"> Dos creados y ofertado en la propia </w:t>
      </w:r>
      <w:r w:rsidR="001151F0">
        <w:rPr>
          <w:color w:val="000000"/>
          <w:lang w:eastAsia="es-ES_tradnl"/>
        </w:rPr>
        <w:t>institución</w:t>
      </w:r>
      <w:r w:rsidR="00BA3647">
        <w:rPr>
          <w:color w:val="000000"/>
          <w:lang w:eastAsia="es-ES_tradnl"/>
        </w:rPr>
        <w:t xml:space="preserve"> (M</w:t>
      </w:r>
      <w:r w:rsidR="00BA3647" w:rsidRPr="00BA3647">
        <w:rPr>
          <w:color w:val="000000"/>
          <w:lang w:eastAsia="es-ES_tradnl"/>
        </w:rPr>
        <w:t xml:space="preserve">aestría en Administración y </w:t>
      </w:r>
      <w:r w:rsidR="00BA3647">
        <w:rPr>
          <w:color w:val="000000"/>
          <w:lang w:eastAsia="es-ES_tradnl"/>
        </w:rPr>
        <w:t>D</w:t>
      </w:r>
      <w:r w:rsidR="00BA3647" w:rsidRPr="00BA3647">
        <w:rPr>
          <w:color w:val="000000"/>
          <w:lang w:eastAsia="es-ES_tradnl"/>
        </w:rPr>
        <w:t>octorado en Administración y Alta Dirección</w:t>
      </w:r>
      <w:r w:rsidR="00BA3647">
        <w:rPr>
          <w:color w:val="000000"/>
          <w:lang w:eastAsia="es-ES_tradnl"/>
        </w:rPr>
        <w:t xml:space="preserve">) y </w:t>
      </w:r>
      <w:r>
        <w:rPr>
          <w:color w:val="000000"/>
          <w:lang w:eastAsia="es-ES_tradnl"/>
        </w:rPr>
        <w:t>cuatro en colaboración con otros organismos académicos pares</w:t>
      </w:r>
      <w:r w:rsidR="00BA3647">
        <w:rPr>
          <w:color w:val="000000"/>
          <w:lang w:eastAsia="es-ES_tradnl"/>
        </w:rPr>
        <w:t xml:space="preserve">; con </w:t>
      </w:r>
      <w:r w:rsidR="00BA3647" w:rsidRPr="00DF280E">
        <w:rPr>
          <w:color w:val="000000"/>
          <w:lang w:eastAsia="es-ES_tradnl"/>
        </w:rPr>
        <w:t>registro en el PNPC</w:t>
      </w:r>
      <w:r w:rsidRPr="00DF280E">
        <w:rPr>
          <w:color w:val="000000"/>
          <w:lang w:eastAsia="es-ES_tradnl"/>
        </w:rPr>
        <w:t xml:space="preserve"> </w:t>
      </w:r>
      <w:r w:rsidR="00BA3647">
        <w:rPr>
          <w:color w:val="000000"/>
          <w:lang w:eastAsia="es-ES_tradnl"/>
        </w:rPr>
        <w:t>están la E</w:t>
      </w:r>
      <w:r w:rsidRPr="00DF280E">
        <w:rPr>
          <w:color w:val="000000"/>
          <w:lang w:eastAsia="es-ES_tradnl"/>
        </w:rPr>
        <w:t>specialidad en Administración de Empresas Turísticas</w:t>
      </w:r>
      <w:r w:rsidR="00BA3647">
        <w:rPr>
          <w:color w:val="000000"/>
          <w:lang w:eastAsia="es-ES_tradnl"/>
        </w:rPr>
        <w:t xml:space="preserve">, </w:t>
      </w:r>
      <w:r>
        <w:rPr>
          <w:color w:val="000000"/>
          <w:lang w:eastAsia="es-ES_tradnl"/>
        </w:rPr>
        <w:t>D</w:t>
      </w:r>
      <w:r w:rsidRPr="00DF280E">
        <w:rPr>
          <w:color w:val="000000"/>
          <w:lang w:eastAsia="es-ES_tradnl"/>
        </w:rPr>
        <w:t xml:space="preserve">octorado en Ciencias </w:t>
      </w:r>
      <w:r w:rsidR="00BA3647" w:rsidRPr="00DF280E">
        <w:rPr>
          <w:color w:val="000000"/>
          <w:lang w:eastAsia="es-ES_tradnl"/>
        </w:rPr>
        <w:t>Económico</w:t>
      </w:r>
      <w:r w:rsidR="00BA3647">
        <w:rPr>
          <w:color w:val="000000"/>
          <w:lang w:eastAsia="es-ES_tradnl"/>
        </w:rPr>
        <w:t xml:space="preserve"> </w:t>
      </w:r>
      <w:r w:rsidR="00BA3647" w:rsidRPr="00DF280E">
        <w:rPr>
          <w:color w:val="000000"/>
          <w:lang w:eastAsia="es-ES_tradnl"/>
        </w:rPr>
        <w:t>Administrativas</w:t>
      </w:r>
      <w:r w:rsidRPr="00DF280E">
        <w:rPr>
          <w:color w:val="000000"/>
          <w:lang w:eastAsia="es-ES_tradnl"/>
        </w:rPr>
        <w:t xml:space="preserve"> </w:t>
      </w:r>
      <w:r w:rsidR="00BA3647">
        <w:rPr>
          <w:color w:val="000000"/>
          <w:lang w:eastAsia="es-ES_tradnl"/>
        </w:rPr>
        <w:t xml:space="preserve">y </w:t>
      </w:r>
      <w:r>
        <w:rPr>
          <w:color w:val="000000"/>
          <w:lang w:eastAsia="es-ES_tradnl"/>
        </w:rPr>
        <w:t>D</w:t>
      </w:r>
      <w:r w:rsidRPr="00DF280E">
        <w:rPr>
          <w:color w:val="000000"/>
          <w:lang w:eastAsia="es-ES_tradnl"/>
        </w:rPr>
        <w:t>octorado en Estudios para el Desarrollo Humano</w:t>
      </w:r>
      <w:r w:rsidR="00BA3647">
        <w:rPr>
          <w:color w:val="000000"/>
          <w:lang w:eastAsia="es-ES_tradnl"/>
        </w:rPr>
        <w:t xml:space="preserve"> y sin registro en el PNPC, M</w:t>
      </w:r>
      <w:r w:rsidRPr="00DF280E">
        <w:rPr>
          <w:color w:val="000000"/>
          <w:lang w:eastAsia="es-ES_tradnl"/>
        </w:rPr>
        <w:t>aestría en Contraloría Gubernamental</w:t>
      </w:r>
      <w:r w:rsidR="00BA3647">
        <w:rPr>
          <w:color w:val="000000"/>
          <w:lang w:eastAsia="es-ES_tradnl"/>
        </w:rPr>
        <w:t xml:space="preserve">. </w:t>
      </w:r>
      <w:r w:rsidR="00BA3647" w:rsidRPr="00BA3647">
        <w:rPr>
          <w:color w:val="000000"/>
          <w:lang w:eastAsia="es-ES_tradnl"/>
        </w:rPr>
        <w:t>(García, 2020)</w:t>
      </w:r>
    </w:p>
    <w:p w14:paraId="6FBB3C43" w14:textId="5AC6A7FA" w:rsidR="002509F8" w:rsidRPr="009E3E75" w:rsidRDefault="002509F8" w:rsidP="009E3E75">
      <w:pPr>
        <w:autoSpaceDE w:val="0"/>
        <w:autoSpaceDN w:val="0"/>
        <w:adjustRightInd w:val="0"/>
        <w:spacing w:line="360" w:lineRule="auto"/>
        <w:jc w:val="center"/>
        <w:rPr>
          <w:b/>
          <w:color w:val="000000"/>
          <w:sz w:val="28"/>
          <w:szCs w:val="28"/>
          <w:lang w:eastAsia="es-ES_tradnl"/>
        </w:rPr>
      </w:pPr>
      <w:r w:rsidRPr="009E3E75">
        <w:rPr>
          <w:b/>
          <w:color w:val="000000"/>
          <w:sz w:val="28"/>
          <w:szCs w:val="28"/>
          <w:lang w:eastAsia="es-ES_tradnl"/>
        </w:rPr>
        <w:lastRenderedPageBreak/>
        <w:t>Estado Actual de la TI en las Instituciones de Educación Superior en México</w:t>
      </w:r>
    </w:p>
    <w:p w14:paraId="7DB2C531" w14:textId="3D29F9F3" w:rsidR="002509F8" w:rsidRDefault="002509F8" w:rsidP="009E3E75">
      <w:pPr>
        <w:autoSpaceDE w:val="0"/>
        <w:autoSpaceDN w:val="0"/>
        <w:adjustRightInd w:val="0"/>
        <w:spacing w:line="360" w:lineRule="auto"/>
        <w:ind w:firstLine="708"/>
        <w:jc w:val="both"/>
        <w:rPr>
          <w:color w:val="000000"/>
          <w:lang w:eastAsia="es-ES_tradnl"/>
        </w:rPr>
      </w:pPr>
      <w:r w:rsidRPr="002509F8">
        <w:rPr>
          <w:color w:val="000000"/>
          <w:lang w:eastAsia="es-ES_tradnl"/>
        </w:rPr>
        <w:t>El Estudio del Estado Actual de las TI en las IES en México se realizó por primera vez en el año de 2016, en su última versión correspondiente al año de 2019 participaron las 137 IES asociadas a la Asociación Nacional de Universidades e Instituciones de Educación Superior de la República Mexicana A.C. (ANUIES</w:t>
      </w:r>
      <w:r w:rsidR="00F642C5">
        <w:rPr>
          <w:color w:val="000000"/>
          <w:lang w:eastAsia="es-ES_tradnl"/>
        </w:rPr>
        <w:t xml:space="preserve">, 2020 </w:t>
      </w:r>
      <w:r w:rsidRPr="002509F8">
        <w:rPr>
          <w:color w:val="000000"/>
          <w:lang w:eastAsia="es-ES_tradnl"/>
        </w:rPr>
        <w:t xml:space="preserve">) y se busca que el estudio </w:t>
      </w:r>
      <w:r>
        <w:rPr>
          <w:color w:val="000000"/>
          <w:lang w:eastAsia="es-ES_tradnl"/>
        </w:rPr>
        <w:t xml:space="preserve">se constituya en </w:t>
      </w:r>
      <w:r w:rsidRPr="002509F8">
        <w:rPr>
          <w:color w:val="000000"/>
          <w:lang w:eastAsia="es-ES_tradnl"/>
        </w:rPr>
        <w:t xml:space="preserve">“la base para la conformación de indicadores útiles que serán traducidos en acciones y proyectos que habiliten la interacción de la educación superior, y que permitan posicionar estratégicamente a las TIC en las Instituciones de Educación Superior de México”. </w:t>
      </w:r>
    </w:p>
    <w:p w14:paraId="0E1AE371" w14:textId="73E59007" w:rsidR="001F709D" w:rsidRDefault="002509F8" w:rsidP="009E3E75">
      <w:pPr>
        <w:autoSpaceDE w:val="0"/>
        <w:autoSpaceDN w:val="0"/>
        <w:adjustRightInd w:val="0"/>
        <w:spacing w:line="360" w:lineRule="auto"/>
        <w:ind w:firstLine="708"/>
        <w:jc w:val="both"/>
        <w:rPr>
          <w:color w:val="000000"/>
          <w:lang w:eastAsia="es-ES_tradnl"/>
        </w:rPr>
      </w:pPr>
      <w:r w:rsidRPr="002509F8">
        <w:rPr>
          <w:color w:val="000000"/>
          <w:lang w:eastAsia="es-ES_tradnl"/>
        </w:rPr>
        <w:t>Señalado en Ponce (2019), las tecnologías de información y comunicación son un elemento central y habilitador de la enseñanza y el aprendizaje, necesarias para la formación de profesionales que construirán el futuro, pero también a la importante tarea de transparentar y hacer eficientes e innovadores los procesos de la gestión institucional. Agrega (Ponce, 2019) que las Tecnologías de la Información y la Comunicación en las Instituciones de Educación Superior (IES) permiten dinámicas institucionales diversas, abren las posibilidades de nuevos modelos aprendizaje y generan un cambio positivo en diversos aspectos que impactan en la sociedad.</w:t>
      </w:r>
    </w:p>
    <w:p w14:paraId="48D35FF8" w14:textId="72D01B8D" w:rsidR="000201A6" w:rsidRDefault="000201A6" w:rsidP="009E3E75">
      <w:pPr>
        <w:autoSpaceDE w:val="0"/>
        <w:autoSpaceDN w:val="0"/>
        <w:adjustRightInd w:val="0"/>
        <w:spacing w:line="360" w:lineRule="auto"/>
        <w:ind w:firstLine="708"/>
        <w:jc w:val="both"/>
        <w:rPr>
          <w:color w:val="000000"/>
          <w:lang w:eastAsia="es-ES_tradnl"/>
        </w:rPr>
      </w:pPr>
      <w:r w:rsidRPr="000201A6">
        <w:rPr>
          <w:color w:val="000000"/>
          <w:lang w:eastAsia="es-ES_tradnl"/>
        </w:rPr>
        <w:t>El proceder de las IES en relación con los indicadores, tendencias y retos en materia de tecnologías contribuye para el desarrollo de una educación de excelencia y calidad, más equitativa, de mejor acceso y más incluyente (Ponce, 2019).</w:t>
      </w:r>
    </w:p>
    <w:p w14:paraId="21137B4A" w14:textId="77777777" w:rsidR="000201A6" w:rsidRDefault="000201A6" w:rsidP="009E3E75">
      <w:pPr>
        <w:autoSpaceDE w:val="0"/>
        <w:autoSpaceDN w:val="0"/>
        <w:adjustRightInd w:val="0"/>
        <w:spacing w:line="360" w:lineRule="auto"/>
        <w:ind w:firstLine="708"/>
        <w:jc w:val="both"/>
        <w:rPr>
          <w:color w:val="000000"/>
          <w:lang w:eastAsia="es-ES_tradnl"/>
        </w:rPr>
      </w:pPr>
      <w:r w:rsidRPr="000201A6">
        <w:rPr>
          <w:color w:val="000000"/>
          <w:lang w:eastAsia="es-ES_tradnl"/>
        </w:rPr>
        <w:t xml:space="preserve">El documento (Ponce, 2019) señala que una “Gestión de Tecnologías de Información efectiva permite a la organización optimizar los recursos y la dotación de personal, mejorar los procesos de negocio y de comunicación y aplicar las mejores prácticas”. Y establece como funciones de la Gestión de las TIC, las siguientes: </w:t>
      </w:r>
    </w:p>
    <w:p w14:paraId="1BE9582C" w14:textId="77777777" w:rsidR="000201A6" w:rsidRDefault="000201A6" w:rsidP="009E3E75">
      <w:pPr>
        <w:autoSpaceDE w:val="0"/>
        <w:autoSpaceDN w:val="0"/>
        <w:adjustRightInd w:val="0"/>
        <w:spacing w:line="360" w:lineRule="auto"/>
        <w:ind w:firstLine="708"/>
        <w:jc w:val="both"/>
        <w:rPr>
          <w:color w:val="000000"/>
          <w:lang w:eastAsia="es-ES_tradnl"/>
        </w:rPr>
      </w:pPr>
      <w:r w:rsidRPr="000201A6">
        <w:rPr>
          <w:color w:val="000000"/>
          <w:lang w:eastAsia="es-ES_tradnl"/>
        </w:rPr>
        <w:sym w:font="Symbol" w:char="F0B7"/>
      </w:r>
      <w:r w:rsidRPr="000201A6">
        <w:rPr>
          <w:color w:val="000000"/>
          <w:lang w:eastAsia="es-ES_tradnl"/>
        </w:rPr>
        <w:t xml:space="preserve"> </w:t>
      </w:r>
      <w:r w:rsidRPr="000201A6">
        <w:rPr>
          <w:b/>
          <w:bCs/>
          <w:color w:val="000000"/>
          <w:lang w:eastAsia="es-ES_tradnl"/>
        </w:rPr>
        <w:t>Gestión de la arquitectura TIC:</w:t>
      </w:r>
      <w:r w:rsidRPr="000201A6">
        <w:rPr>
          <w:color w:val="000000"/>
          <w:lang w:eastAsia="es-ES_tradnl"/>
        </w:rPr>
        <w:t xml:space="preserve"> Esta función se refiere al grupo de procesos que definen los modelos de las estructuras físicas y lógicas que deben regir como referencia para los sistemas de la organización; detallando el modelo de aplicaciones y de infraestructuras, así como el modelo de servicio que se plantea. </w:t>
      </w:r>
    </w:p>
    <w:p w14:paraId="271A6FE9" w14:textId="77777777" w:rsidR="000201A6" w:rsidRDefault="000201A6" w:rsidP="009E3E75">
      <w:pPr>
        <w:autoSpaceDE w:val="0"/>
        <w:autoSpaceDN w:val="0"/>
        <w:adjustRightInd w:val="0"/>
        <w:spacing w:line="360" w:lineRule="auto"/>
        <w:ind w:firstLine="708"/>
        <w:jc w:val="both"/>
        <w:rPr>
          <w:color w:val="000000"/>
          <w:lang w:eastAsia="es-ES_tradnl"/>
        </w:rPr>
      </w:pPr>
      <w:r w:rsidRPr="000201A6">
        <w:rPr>
          <w:color w:val="000000"/>
          <w:lang w:eastAsia="es-ES_tradnl"/>
        </w:rPr>
        <w:sym w:font="Symbol" w:char="F0B7"/>
      </w:r>
      <w:r w:rsidRPr="000201A6">
        <w:rPr>
          <w:color w:val="000000"/>
          <w:lang w:eastAsia="es-ES_tradnl"/>
        </w:rPr>
        <w:t xml:space="preserve"> </w:t>
      </w:r>
      <w:r w:rsidRPr="000201A6">
        <w:rPr>
          <w:b/>
          <w:bCs/>
          <w:color w:val="000000"/>
          <w:lang w:eastAsia="es-ES_tradnl"/>
        </w:rPr>
        <w:t>Planificación y gobierno TIC:</w:t>
      </w:r>
      <w:r w:rsidRPr="000201A6">
        <w:rPr>
          <w:color w:val="000000"/>
          <w:lang w:eastAsia="es-ES_tradnl"/>
        </w:rPr>
        <w:t xml:space="preserve"> Esta función considera todas las actividades orientadas al establecimiento de las políticas y criterios generales de la gestión de las TIC, como son: la elaboración de los presupuestos, las funciones, el modelo organizativo, el modelo de relación con agentes internos y externos, el establecimiento de indicadores de gestión y, finalmente, el análisis de los costos y beneficios de la actuación sobre TIC. 50 </w:t>
      </w:r>
    </w:p>
    <w:p w14:paraId="194338DF" w14:textId="77777777" w:rsidR="000201A6" w:rsidRDefault="000201A6" w:rsidP="009E3E75">
      <w:pPr>
        <w:autoSpaceDE w:val="0"/>
        <w:autoSpaceDN w:val="0"/>
        <w:adjustRightInd w:val="0"/>
        <w:spacing w:line="360" w:lineRule="auto"/>
        <w:ind w:firstLine="708"/>
        <w:jc w:val="both"/>
        <w:rPr>
          <w:color w:val="000000"/>
          <w:lang w:eastAsia="es-ES_tradnl"/>
        </w:rPr>
      </w:pPr>
      <w:r w:rsidRPr="000201A6">
        <w:rPr>
          <w:color w:val="000000"/>
          <w:lang w:eastAsia="es-ES_tradnl"/>
        </w:rPr>
        <w:lastRenderedPageBreak/>
        <w:sym w:font="Symbol" w:char="F0B7"/>
      </w:r>
      <w:r w:rsidRPr="000201A6">
        <w:rPr>
          <w:color w:val="000000"/>
          <w:lang w:eastAsia="es-ES_tradnl"/>
        </w:rPr>
        <w:t xml:space="preserve"> </w:t>
      </w:r>
      <w:r w:rsidRPr="000201A6">
        <w:rPr>
          <w:b/>
          <w:bCs/>
          <w:color w:val="000000"/>
          <w:lang w:eastAsia="es-ES_tradnl"/>
        </w:rPr>
        <w:t>Gestión del ciclo de vida TIC:</w:t>
      </w:r>
      <w:r w:rsidRPr="000201A6">
        <w:rPr>
          <w:color w:val="000000"/>
          <w:lang w:eastAsia="es-ES_tradnl"/>
        </w:rPr>
        <w:t xml:space="preserve"> Esta función abarca los procedimientos y actividades de actuación para el diseño, la construcción, la integración, las pruebas, la puesta en producción y la operación de los sistemas de información. </w:t>
      </w:r>
    </w:p>
    <w:p w14:paraId="76F9AE78" w14:textId="42E97ECE" w:rsidR="002509F8" w:rsidRDefault="000201A6" w:rsidP="009E3E75">
      <w:pPr>
        <w:autoSpaceDE w:val="0"/>
        <w:autoSpaceDN w:val="0"/>
        <w:adjustRightInd w:val="0"/>
        <w:spacing w:line="360" w:lineRule="auto"/>
        <w:ind w:firstLine="708"/>
        <w:jc w:val="both"/>
        <w:rPr>
          <w:color w:val="000000"/>
          <w:lang w:eastAsia="es-ES_tradnl"/>
        </w:rPr>
      </w:pPr>
      <w:r w:rsidRPr="000201A6">
        <w:rPr>
          <w:color w:val="000000"/>
          <w:lang w:eastAsia="es-ES_tradnl"/>
        </w:rPr>
        <w:sym w:font="Symbol" w:char="F0B7"/>
      </w:r>
      <w:r w:rsidRPr="000201A6">
        <w:rPr>
          <w:color w:val="000000"/>
          <w:lang w:eastAsia="es-ES_tradnl"/>
        </w:rPr>
        <w:t xml:space="preserve"> </w:t>
      </w:r>
      <w:r w:rsidRPr="000201A6">
        <w:rPr>
          <w:b/>
          <w:bCs/>
          <w:color w:val="000000"/>
          <w:lang w:eastAsia="es-ES_tradnl"/>
        </w:rPr>
        <w:t>Gestión del aprovisionamiento:</w:t>
      </w:r>
      <w:r w:rsidRPr="000201A6">
        <w:rPr>
          <w:color w:val="000000"/>
          <w:lang w:eastAsia="es-ES_tradnl"/>
        </w:rPr>
        <w:t xml:space="preserve"> Esta función incluye el conjunto de decisiones relacionadas con el modelo de aprovisionamiento de TIC que la organización quiere desarrollar. Estas decisiones tienen que ver con lo que se realiza internamente, los que se subcontrata, las adquisiciones de servicios, lo que se externaliza, el número de proveedores con los que quiere trabajar la organización, la tipología de dichos proveedores, el tipo de servicios que se quiere contratar, etc.</w:t>
      </w:r>
    </w:p>
    <w:p w14:paraId="12B27CBB" w14:textId="70D3B25C" w:rsidR="000201A6" w:rsidRDefault="000201A6" w:rsidP="009E3E75">
      <w:pPr>
        <w:autoSpaceDE w:val="0"/>
        <w:autoSpaceDN w:val="0"/>
        <w:adjustRightInd w:val="0"/>
        <w:spacing w:line="360" w:lineRule="auto"/>
        <w:ind w:firstLine="708"/>
        <w:jc w:val="both"/>
        <w:rPr>
          <w:color w:val="000000"/>
          <w:lang w:eastAsia="es-ES_tradnl"/>
        </w:rPr>
      </w:pPr>
      <w:r w:rsidRPr="000201A6">
        <w:rPr>
          <w:color w:val="000000"/>
          <w:lang w:eastAsia="es-ES_tradnl"/>
        </w:rPr>
        <w:t xml:space="preserve">Los resultados del estudio Estado Actual de las TI en las Instituciones de Educación Superior (IES) en México se presentan en 12 secciones, cada sección comprende un conjunto de indicadores específicos. </w:t>
      </w:r>
      <w:r>
        <w:rPr>
          <w:color w:val="000000"/>
          <w:lang w:eastAsia="es-ES_tradnl"/>
        </w:rPr>
        <w:t>L</w:t>
      </w:r>
      <w:r w:rsidRPr="000201A6">
        <w:rPr>
          <w:color w:val="000000"/>
          <w:lang w:eastAsia="es-ES_tradnl"/>
        </w:rPr>
        <w:t xml:space="preserve">a tabla </w:t>
      </w:r>
      <w:r w:rsidR="003D7578">
        <w:rPr>
          <w:color w:val="000000"/>
          <w:lang w:eastAsia="es-ES_tradnl"/>
        </w:rPr>
        <w:t>2</w:t>
      </w:r>
      <w:r w:rsidRPr="000201A6">
        <w:rPr>
          <w:color w:val="000000"/>
          <w:lang w:eastAsia="es-ES_tradnl"/>
        </w:rPr>
        <w:t xml:space="preserve"> </w:t>
      </w:r>
      <w:r>
        <w:rPr>
          <w:color w:val="000000"/>
          <w:lang w:eastAsia="es-ES_tradnl"/>
        </w:rPr>
        <w:t xml:space="preserve">considera </w:t>
      </w:r>
      <w:r w:rsidRPr="000201A6">
        <w:rPr>
          <w:color w:val="000000"/>
          <w:lang w:eastAsia="es-ES_tradnl"/>
        </w:rPr>
        <w:t>las secciones incluidas en el estudio, la finalidad de cada sección y el número de indicadores por sección</w:t>
      </w:r>
      <w:r>
        <w:rPr>
          <w:color w:val="000000"/>
          <w:lang w:eastAsia="es-ES_tradnl"/>
        </w:rPr>
        <w:t>.</w:t>
      </w:r>
    </w:p>
    <w:p w14:paraId="046E71AE" w14:textId="1C0BD63D" w:rsidR="00FA1A2A" w:rsidRDefault="00FA1A2A" w:rsidP="009E3E75">
      <w:pPr>
        <w:autoSpaceDE w:val="0"/>
        <w:autoSpaceDN w:val="0"/>
        <w:adjustRightInd w:val="0"/>
        <w:spacing w:line="360" w:lineRule="auto"/>
        <w:ind w:firstLine="708"/>
        <w:jc w:val="both"/>
        <w:rPr>
          <w:color w:val="000000"/>
          <w:lang w:eastAsia="es-ES_tradnl"/>
        </w:rPr>
      </w:pPr>
    </w:p>
    <w:p w14:paraId="0D269437" w14:textId="1C10C259" w:rsidR="00FA1A2A" w:rsidRDefault="00FA1A2A" w:rsidP="009E3E75">
      <w:pPr>
        <w:autoSpaceDE w:val="0"/>
        <w:autoSpaceDN w:val="0"/>
        <w:adjustRightInd w:val="0"/>
        <w:spacing w:line="360" w:lineRule="auto"/>
        <w:ind w:firstLine="708"/>
        <w:jc w:val="both"/>
        <w:rPr>
          <w:color w:val="000000"/>
          <w:lang w:eastAsia="es-ES_tradnl"/>
        </w:rPr>
      </w:pPr>
    </w:p>
    <w:p w14:paraId="49FC84EE" w14:textId="77848BEE" w:rsidR="00FA1A2A" w:rsidRDefault="00FA1A2A" w:rsidP="009E3E75">
      <w:pPr>
        <w:autoSpaceDE w:val="0"/>
        <w:autoSpaceDN w:val="0"/>
        <w:adjustRightInd w:val="0"/>
        <w:spacing w:line="360" w:lineRule="auto"/>
        <w:ind w:firstLine="708"/>
        <w:jc w:val="both"/>
        <w:rPr>
          <w:color w:val="000000"/>
          <w:lang w:eastAsia="es-ES_tradnl"/>
        </w:rPr>
      </w:pPr>
    </w:p>
    <w:p w14:paraId="32F911C3" w14:textId="182B39B0" w:rsidR="00FA1A2A" w:rsidRDefault="00FA1A2A" w:rsidP="009E3E75">
      <w:pPr>
        <w:autoSpaceDE w:val="0"/>
        <w:autoSpaceDN w:val="0"/>
        <w:adjustRightInd w:val="0"/>
        <w:spacing w:line="360" w:lineRule="auto"/>
        <w:ind w:firstLine="708"/>
        <w:jc w:val="both"/>
        <w:rPr>
          <w:color w:val="000000"/>
          <w:lang w:eastAsia="es-ES_tradnl"/>
        </w:rPr>
      </w:pPr>
    </w:p>
    <w:p w14:paraId="4D50D23A" w14:textId="309DEB3D" w:rsidR="00FA1A2A" w:rsidRDefault="00FA1A2A" w:rsidP="009E3E75">
      <w:pPr>
        <w:autoSpaceDE w:val="0"/>
        <w:autoSpaceDN w:val="0"/>
        <w:adjustRightInd w:val="0"/>
        <w:spacing w:line="360" w:lineRule="auto"/>
        <w:ind w:firstLine="708"/>
        <w:jc w:val="both"/>
        <w:rPr>
          <w:color w:val="000000"/>
          <w:lang w:eastAsia="es-ES_tradnl"/>
        </w:rPr>
      </w:pPr>
    </w:p>
    <w:p w14:paraId="355659C7" w14:textId="4CBF003B" w:rsidR="00FA1A2A" w:rsidRDefault="00FA1A2A" w:rsidP="009E3E75">
      <w:pPr>
        <w:autoSpaceDE w:val="0"/>
        <w:autoSpaceDN w:val="0"/>
        <w:adjustRightInd w:val="0"/>
        <w:spacing w:line="360" w:lineRule="auto"/>
        <w:ind w:firstLine="708"/>
        <w:jc w:val="both"/>
        <w:rPr>
          <w:color w:val="000000"/>
          <w:lang w:eastAsia="es-ES_tradnl"/>
        </w:rPr>
      </w:pPr>
    </w:p>
    <w:p w14:paraId="5678C893" w14:textId="72B393E1" w:rsidR="00FA1A2A" w:rsidRDefault="00FA1A2A" w:rsidP="009E3E75">
      <w:pPr>
        <w:autoSpaceDE w:val="0"/>
        <w:autoSpaceDN w:val="0"/>
        <w:adjustRightInd w:val="0"/>
        <w:spacing w:line="360" w:lineRule="auto"/>
        <w:ind w:firstLine="708"/>
        <w:jc w:val="both"/>
        <w:rPr>
          <w:color w:val="000000"/>
          <w:lang w:eastAsia="es-ES_tradnl"/>
        </w:rPr>
      </w:pPr>
    </w:p>
    <w:p w14:paraId="6E3D0ED4" w14:textId="376ED107" w:rsidR="00FA1A2A" w:rsidRDefault="00FA1A2A" w:rsidP="009E3E75">
      <w:pPr>
        <w:autoSpaceDE w:val="0"/>
        <w:autoSpaceDN w:val="0"/>
        <w:adjustRightInd w:val="0"/>
        <w:spacing w:line="360" w:lineRule="auto"/>
        <w:ind w:firstLine="708"/>
        <w:jc w:val="both"/>
        <w:rPr>
          <w:color w:val="000000"/>
          <w:lang w:eastAsia="es-ES_tradnl"/>
        </w:rPr>
      </w:pPr>
    </w:p>
    <w:p w14:paraId="3155D6AE" w14:textId="4519A295" w:rsidR="00FA1A2A" w:rsidRDefault="00FA1A2A" w:rsidP="009E3E75">
      <w:pPr>
        <w:autoSpaceDE w:val="0"/>
        <w:autoSpaceDN w:val="0"/>
        <w:adjustRightInd w:val="0"/>
        <w:spacing w:line="360" w:lineRule="auto"/>
        <w:ind w:firstLine="708"/>
        <w:jc w:val="both"/>
        <w:rPr>
          <w:color w:val="000000"/>
          <w:lang w:eastAsia="es-ES_tradnl"/>
        </w:rPr>
      </w:pPr>
    </w:p>
    <w:p w14:paraId="037F1203" w14:textId="3CE2B570" w:rsidR="00FA1A2A" w:rsidRDefault="00FA1A2A" w:rsidP="009E3E75">
      <w:pPr>
        <w:autoSpaceDE w:val="0"/>
        <w:autoSpaceDN w:val="0"/>
        <w:adjustRightInd w:val="0"/>
        <w:spacing w:line="360" w:lineRule="auto"/>
        <w:ind w:firstLine="708"/>
        <w:jc w:val="both"/>
        <w:rPr>
          <w:color w:val="000000"/>
          <w:lang w:eastAsia="es-ES_tradnl"/>
        </w:rPr>
      </w:pPr>
    </w:p>
    <w:p w14:paraId="605753F1" w14:textId="113C1E9E" w:rsidR="00FA1A2A" w:rsidRDefault="00FA1A2A" w:rsidP="009E3E75">
      <w:pPr>
        <w:autoSpaceDE w:val="0"/>
        <w:autoSpaceDN w:val="0"/>
        <w:adjustRightInd w:val="0"/>
        <w:spacing w:line="360" w:lineRule="auto"/>
        <w:ind w:firstLine="708"/>
        <w:jc w:val="both"/>
        <w:rPr>
          <w:color w:val="000000"/>
          <w:lang w:eastAsia="es-ES_tradnl"/>
        </w:rPr>
      </w:pPr>
    </w:p>
    <w:p w14:paraId="4A6F539D" w14:textId="2BE77B10" w:rsidR="00FA1A2A" w:rsidRDefault="00FA1A2A" w:rsidP="009E3E75">
      <w:pPr>
        <w:autoSpaceDE w:val="0"/>
        <w:autoSpaceDN w:val="0"/>
        <w:adjustRightInd w:val="0"/>
        <w:spacing w:line="360" w:lineRule="auto"/>
        <w:ind w:firstLine="708"/>
        <w:jc w:val="both"/>
        <w:rPr>
          <w:color w:val="000000"/>
          <w:lang w:eastAsia="es-ES_tradnl"/>
        </w:rPr>
      </w:pPr>
    </w:p>
    <w:p w14:paraId="6A68E429" w14:textId="5505E072" w:rsidR="00FA1A2A" w:rsidRDefault="00FA1A2A" w:rsidP="009E3E75">
      <w:pPr>
        <w:autoSpaceDE w:val="0"/>
        <w:autoSpaceDN w:val="0"/>
        <w:adjustRightInd w:val="0"/>
        <w:spacing w:line="360" w:lineRule="auto"/>
        <w:ind w:firstLine="708"/>
        <w:jc w:val="both"/>
        <w:rPr>
          <w:color w:val="000000"/>
          <w:lang w:eastAsia="es-ES_tradnl"/>
        </w:rPr>
      </w:pPr>
    </w:p>
    <w:p w14:paraId="5D80504D" w14:textId="1E95807A" w:rsidR="00FA1A2A" w:rsidRDefault="00FA1A2A" w:rsidP="009E3E75">
      <w:pPr>
        <w:autoSpaceDE w:val="0"/>
        <w:autoSpaceDN w:val="0"/>
        <w:adjustRightInd w:val="0"/>
        <w:spacing w:line="360" w:lineRule="auto"/>
        <w:ind w:firstLine="708"/>
        <w:jc w:val="both"/>
        <w:rPr>
          <w:color w:val="000000"/>
          <w:lang w:eastAsia="es-ES_tradnl"/>
        </w:rPr>
      </w:pPr>
    </w:p>
    <w:p w14:paraId="686E8E60" w14:textId="7458F2B5" w:rsidR="00FA1A2A" w:rsidRDefault="00FA1A2A" w:rsidP="009E3E75">
      <w:pPr>
        <w:autoSpaceDE w:val="0"/>
        <w:autoSpaceDN w:val="0"/>
        <w:adjustRightInd w:val="0"/>
        <w:spacing w:line="360" w:lineRule="auto"/>
        <w:ind w:firstLine="708"/>
        <w:jc w:val="both"/>
        <w:rPr>
          <w:color w:val="000000"/>
          <w:lang w:eastAsia="es-ES_tradnl"/>
        </w:rPr>
      </w:pPr>
    </w:p>
    <w:p w14:paraId="1363F0EF" w14:textId="7C1EB8F1" w:rsidR="00FA1A2A" w:rsidRDefault="00FA1A2A" w:rsidP="009E3E75">
      <w:pPr>
        <w:autoSpaceDE w:val="0"/>
        <w:autoSpaceDN w:val="0"/>
        <w:adjustRightInd w:val="0"/>
        <w:spacing w:line="360" w:lineRule="auto"/>
        <w:ind w:firstLine="708"/>
        <w:jc w:val="both"/>
        <w:rPr>
          <w:color w:val="000000"/>
          <w:lang w:eastAsia="es-ES_tradnl"/>
        </w:rPr>
      </w:pPr>
    </w:p>
    <w:p w14:paraId="41A9F7A0" w14:textId="308D9B8E" w:rsidR="00FA1A2A" w:rsidRDefault="00FA1A2A" w:rsidP="009E3E75">
      <w:pPr>
        <w:autoSpaceDE w:val="0"/>
        <w:autoSpaceDN w:val="0"/>
        <w:adjustRightInd w:val="0"/>
        <w:spacing w:line="360" w:lineRule="auto"/>
        <w:ind w:firstLine="708"/>
        <w:jc w:val="both"/>
        <w:rPr>
          <w:color w:val="000000"/>
          <w:lang w:eastAsia="es-ES_tradnl"/>
        </w:rPr>
      </w:pPr>
    </w:p>
    <w:p w14:paraId="439555AD" w14:textId="5304A570" w:rsidR="00FA1A2A" w:rsidRDefault="00FA1A2A" w:rsidP="009E3E75">
      <w:pPr>
        <w:autoSpaceDE w:val="0"/>
        <w:autoSpaceDN w:val="0"/>
        <w:adjustRightInd w:val="0"/>
        <w:spacing w:line="360" w:lineRule="auto"/>
        <w:ind w:firstLine="708"/>
        <w:jc w:val="both"/>
        <w:rPr>
          <w:color w:val="000000"/>
          <w:lang w:eastAsia="es-ES_tradnl"/>
        </w:rPr>
      </w:pPr>
    </w:p>
    <w:p w14:paraId="744BA07C" w14:textId="1458BD58" w:rsidR="00FA1A2A" w:rsidRDefault="00FA1A2A" w:rsidP="009E3E75">
      <w:pPr>
        <w:autoSpaceDE w:val="0"/>
        <w:autoSpaceDN w:val="0"/>
        <w:adjustRightInd w:val="0"/>
        <w:spacing w:line="360" w:lineRule="auto"/>
        <w:ind w:firstLine="708"/>
        <w:jc w:val="both"/>
        <w:rPr>
          <w:color w:val="000000"/>
          <w:lang w:eastAsia="es-ES_tradnl"/>
        </w:rPr>
      </w:pPr>
    </w:p>
    <w:p w14:paraId="2B649C08" w14:textId="4DC2A830" w:rsidR="00FA1A2A" w:rsidRDefault="00FA1A2A" w:rsidP="009E3E75">
      <w:pPr>
        <w:autoSpaceDE w:val="0"/>
        <w:autoSpaceDN w:val="0"/>
        <w:adjustRightInd w:val="0"/>
        <w:spacing w:line="360" w:lineRule="auto"/>
        <w:ind w:firstLine="708"/>
        <w:jc w:val="both"/>
        <w:rPr>
          <w:color w:val="000000"/>
          <w:lang w:eastAsia="es-ES_tradnl"/>
        </w:rPr>
      </w:pPr>
    </w:p>
    <w:p w14:paraId="6AD77F81" w14:textId="77777777" w:rsidR="00FA1A2A" w:rsidRDefault="00FA1A2A" w:rsidP="009E3E75">
      <w:pPr>
        <w:autoSpaceDE w:val="0"/>
        <w:autoSpaceDN w:val="0"/>
        <w:adjustRightInd w:val="0"/>
        <w:spacing w:line="360" w:lineRule="auto"/>
        <w:ind w:firstLine="708"/>
        <w:jc w:val="both"/>
        <w:rPr>
          <w:color w:val="000000"/>
          <w:lang w:eastAsia="es-ES_tradnl"/>
        </w:rPr>
      </w:pPr>
    </w:p>
    <w:p w14:paraId="634FEBE2" w14:textId="5EF2C88F" w:rsidR="000201A6" w:rsidRDefault="000201A6" w:rsidP="009E3E75">
      <w:pPr>
        <w:autoSpaceDE w:val="0"/>
        <w:autoSpaceDN w:val="0"/>
        <w:adjustRightInd w:val="0"/>
        <w:spacing w:line="360" w:lineRule="auto"/>
        <w:jc w:val="center"/>
      </w:pPr>
      <w:r w:rsidRPr="009E3E75">
        <w:rPr>
          <w:b/>
          <w:bCs/>
        </w:rPr>
        <w:lastRenderedPageBreak/>
        <w:t xml:space="preserve">Tabla </w:t>
      </w:r>
      <w:r w:rsidR="003D7578">
        <w:rPr>
          <w:b/>
          <w:bCs/>
        </w:rPr>
        <w:t>2</w:t>
      </w:r>
      <w:r w:rsidRPr="009E3E75">
        <w:rPr>
          <w:b/>
          <w:bCs/>
        </w:rPr>
        <w:t>.</w:t>
      </w:r>
      <w:r w:rsidRPr="009E3E75">
        <w:t xml:space="preserve"> Secciones, finalidad y número de indicadores incluidos en el estudio de Estado Actual de las TI en las Instituciones de Educación Superior (IES) en México</w:t>
      </w:r>
      <w:r w:rsidR="00822C6B" w:rsidRPr="009E3E75">
        <w:t>.</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20" w:firstRow="1" w:lastRow="0" w:firstColumn="0" w:lastColumn="0" w:noHBand="1" w:noVBand="1"/>
      </w:tblPr>
      <w:tblGrid>
        <w:gridCol w:w="846"/>
        <w:gridCol w:w="1843"/>
        <w:gridCol w:w="4536"/>
        <w:gridCol w:w="1422"/>
      </w:tblGrid>
      <w:tr w:rsidR="00AC72C1" w:rsidRPr="0017553E" w14:paraId="6B8295BC" w14:textId="77777777" w:rsidTr="00FA1A2A">
        <w:trPr>
          <w:trHeight w:val="252"/>
          <w:jc w:val="center"/>
        </w:trPr>
        <w:tc>
          <w:tcPr>
            <w:tcW w:w="846" w:type="dxa"/>
            <w:shd w:val="clear" w:color="auto" w:fill="auto"/>
            <w:tcMar>
              <w:top w:w="15" w:type="dxa"/>
              <w:left w:w="59" w:type="dxa"/>
              <w:bottom w:w="0" w:type="dxa"/>
              <w:right w:w="59" w:type="dxa"/>
            </w:tcMar>
            <w:vAlign w:val="center"/>
            <w:hideMark/>
          </w:tcPr>
          <w:p w14:paraId="331EAC46" w14:textId="0A56F4A6" w:rsidR="00AC72C1" w:rsidRPr="0017553E" w:rsidRDefault="0017553E" w:rsidP="00110ADA">
            <w:pPr>
              <w:jc w:val="center"/>
            </w:pPr>
            <w:r w:rsidRPr="0017553E">
              <w:t>No.</w:t>
            </w:r>
          </w:p>
        </w:tc>
        <w:tc>
          <w:tcPr>
            <w:tcW w:w="1843" w:type="dxa"/>
            <w:shd w:val="clear" w:color="auto" w:fill="auto"/>
            <w:tcMar>
              <w:top w:w="15" w:type="dxa"/>
              <w:left w:w="59" w:type="dxa"/>
              <w:bottom w:w="0" w:type="dxa"/>
              <w:right w:w="59" w:type="dxa"/>
            </w:tcMar>
            <w:vAlign w:val="center"/>
            <w:hideMark/>
          </w:tcPr>
          <w:p w14:paraId="3AC3C81B" w14:textId="67714B67" w:rsidR="00AC72C1" w:rsidRPr="0017553E" w:rsidRDefault="0017553E" w:rsidP="00110ADA">
            <w:pPr>
              <w:jc w:val="center"/>
            </w:pPr>
            <w:r w:rsidRPr="0017553E">
              <w:t>S</w:t>
            </w:r>
            <w:r>
              <w:t>ección</w:t>
            </w:r>
          </w:p>
        </w:tc>
        <w:tc>
          <w:tcPr>
            <w:tcW w:w="4536" w:type="dxa"/>
            <w:shd w:val="clear" w:color="auto" w:fill="auto"/>
            <w:tcMar>
              <w:top w:w="15" w:type="dxa"/>
              <w:left w:w="59" w:type="dxa"/>
              <w:bottom w:w="0" w:type="dxa"/>
              <w:right w:w="59" w:type="dxa"/>
            </w:tcMar>
            <w:vAlign w:val="center"/>
            <w:hideMark/>
          </w:tcPr>
          <w:p w14:paraId="03E08303" w14:textId="2C66AA3F" w:rsidR="00AC72C1" w:rsidRPr="0017553E" w:rsidRDefault="00AC72C1" w:rsidP="00110ADA">
            <w:pPr>
              <w:jc w:val="center"/>
            </w:pPr>
            <w:r w:rsidRPr="0017553E">
              <w:t>O</w:t>
            </w:r>
            <w:r w:rsidR="0017553E">
              <w:t>bjetivo</w:t>
            </w:r>
          </w:p>
        </w:tc>
        <w:tc>
          <w:tcPr>
            <w:tcW w:w="1422" w:type="dxa"/>
            <w:shd w:val="clear" w:color="auto" w:fill="auto"/>
            <w:tcMar>
              <w:top w:w="15" w:type="dxa"/>
              <w:left w:w="59" w:type="dxa"/>
              <w:bottom w:w="0" w:type="dxa"/>
              <w:right w:w="59" w:type="dxa"/>
            </w:tcMar>
            <w:vAlign w:val="center"/>
            <w:hideMark/>
          </w:tcPr>
          <w:p w14:paraId="570EBD57" w14:textId="75D1BF39" w:rsidR="00AC72C1" w:rsidRPr="0017553E" w:rsidRDefault="0017553E" w:rsidP="00110ADA">
            <w:pPr>
              <w:jc w:val="center"/>
            </w:pPr>
            <w:r>
              <w:t xml:space="preserve">Número de </w:t>
            </w:r>
            <w:r w:rsidR="00AC72C1" w:rsidRPr="0017553E">
              <w:t>I</w:t>
            </w:r>
            <w:r>
              <w:t>ndicadores</w:t>
            </w:r>
          </w:p>
        </w:tc>
      </w:tr>
      <w:tr w:rsidR="00AC72C1" w:rsidRPr="00B94204" w14:paraId="43F8BB59" w14:textId="77777777" w:rsidTr="00FA1A2A">
        <w:trPr>
          <w:trHeight w:val="252"/>
          <w:jc w:val="center"/>
        </w:trPr>
        <w:tc>
          <w:tcPr>
            <w:tcW w:w="846" w:type="dxa"/>
            <w:shd w:val="clear" w:color="auto" w:fill="auto"/>
            <w:tcMar>
              <w:top w:w="15" w:type="dxa"/>
              <w:left w:w="59" w:type="dxa"/>
              <w:bottom w:w="0" w:type="dxa"/>
              <w:right w:w="59" w:type="dxa"/>
            </w:tcMar>
            <w:hideMark/>
          </w:tcPr>
          <w:p w14:paraId="0BB7330E" w14:textId="77777777" w:rsidR="00AC72C1" w:rsidRPr="00B94204" w:rsidRDefault="00AC72C1" w:rsidP="00AC72C1">
            <w:r w:rsidRPr="00B94204">
              <w:t>1</w:t>
            </w:r>
          </w:p>
        </w:tc>
        <w:tc>
          <w:tcPr>
            <w:tcW w:w="1843" w:type="dxa"/>
            <w:shd w:val="clear" w:color="auto" w:fill="auto"/>
            <w:tcMar>
              <w:top w:w="15" w:type="dxa"/>
              <w:left w:w="59" w:type="dxa"/>
              <w:bottom w:w="0" w:type="dxa"/>
              <w:right w:w="59" w:type="dxa"/>
            </w:tcMar>
            <w:hideMark/>
          </w:tcPr>
          <w:p w14:paraId="0E2E46FA" w14:textId="77777777" w:rsidR="00AC72C1" w:rsidRPr="00B94204" w:rsidRDefault="00AC72C1" w:rsidP="00254BAB">
            <w:r w:rsidRPr="00B94204">
              <w:t>Datos generales</w:t>
            </w:r>
          </w:p>
        </w:tc>
        <w:tc>
          <w:tcPr>
            <w:tcW w:w="4536" w:type="dxa"/>
            <w:shd w:val="clear" w:color="auto" w:fill="auto"/>
            <w:tcMar>
              <w:top w:w="15" w:type="dxa"/>
              <w:left w:w="59" w:type="dxa"/>
              <w:bottom w:w="0" w:type="dxa"/>
              <w:right w:w="59" w:type="dxa"/>
            </w:tcMar>
            <w:hideMark/>
          </w:tcPr>
          <w:p w14:paraId="2065A2B7" w14:textId="77777777" w:rsidR="00AC72C1" w:rsidRPr="00B94204" w:rsidRDefault="00AC72C1" w:rsidP="00D250D2">
            <w:r w:rsidRPr="00B94204">
              <w:t>Conocer mejor a las instituciones participantes en el estudio.</w:t>
            </w:r>
          </w:p>
        </w:tc>
        <w:tc>
          <w:tcPr>
            <w:tcW w:w="1422" w:type="dxa"/>
            <w:shd w:val="clear" w:color="auto" w:fill="auto"/>
            <w:tcMar>
              <w:top w:w="15" w:type="dxa"/>
              <w:left w:w="59" w:type="dxa"/>
              <w:bottom w:w="0" w:type="dxa"/>
              <w:right w:w="59" w:type="dxa"/>
            </w:tcMar>
            <w:hideMark/>
          </w:tcPr>
          <w:p w14:paraId="761FFB4D" w14:textId="77777777" w:rsidR="00AC72C1" w:rsidRPr="00B94204" w:rsidRDefault="00AC72C1" w:rsidP="0017553E">
            <w:pPr>
              <w:jc w:val="center"/>
            </w:pPr>
            <w:r w:rsidRPr="00B94204">
              <w:t>11</w:t>
            </w:r>
          </w:p>
        </w:tc>
      </w:tr>
      <w:tr w:rsidR="00AC72C1" w:rsidRPr="00B94204" w14:paraId="6FC803F3" w14:textId="77777777" w:rsidTr="00FA1A2A">
        <w:trPr>
          <w:trHeight w:val="781"/>
          <w:jc w:val="center"/>
        </w:trPr>
        <w:tc>
          <w:tcPr>
            <w:tcW w:w="846" w:type="dxa"/>
            <w:shd w:val="clear" w:color="auto" w:fill="auto"/>
            <w:tcMar>
              <w:top w:w="15" w:type="dxa"/>
              <w:left w:w="59" w:type="dxa"/>
              <w:bottom w:w="0" w:type="dxa"/>
              <w:right w:w="59" w:type="dxa"/>
            </w:tcMar>
            <w:hideMark/>
          </w:tcPr>
          <w:p w14:paraId="38382145" w14:textId="77777777" w:rsidR="00AC72C1" w:rsidRPr="00B94204" w:rsidRDefault="00AC72C1" w:rsidP="00AC72C1">
            <w:r w:rsidRPr="00B94204">
              <w:t>2</w:t>
            </w:r>
          </w:p>
        </w:tc>
        <w:tc>
          <w:tcPr>
            <w:tcW w:w="1843" w:type="dxa"/>
            <w:shd w:val="clear" w:color="auto" w:fill="auto"/>
            <w:tcMar>
              <w:top w:w="15" w:type="dxa"/>
              <w:left w:w="59" w:type="dxa"/>
              <w:bottom w:w="0" w:type="dxa"/>
              <w:right w:w="59" w:type="dxa"/>
            </w:tcMar>
            <w:hideMark/>
          </w:tcPr>
          <w:p w14:paraId="5C612909" w14:textId="77777777" w:rsidR="00AC72C1" w:rsidRPr="00B94204" w:rsidRDefault="00AC72C1" w:rsidP="00254BAB">
            <w:r w:rsidRPr="00B94204">
              <w:t>Organización de TIC</w:t>
            </w:r>
          </w:p>
        </w:tc>
        <w:tc>
          <w:tcPr>
            <w:tcW w:w="4536" w:type="dxa"/>
            <w:shd w:val="clear" w:color="auto" w:fill="auto"/>
            <w:tcMar>
              <w:top w:w="15" w:type="dxa"/>
              <w:left w:w="59" w:type="dxa"/>
              <w:bottom w:w="0" w:type="dxa"/>
              <w:right w:w="59" w:type="dxa"/>
            </w:tcMar>
            <w:hideMark/>
          </w:tcPr>
          <w:p w14:paraId="1670175D" w14:textId="77777777" w:rsidR="00AC72C1" w:rsidRPr="00B94204" w:rsidRDefault="00AC72C1" w:rsidP="00D250D2">
            <w:r w:rsidRPr="00B94204">
              <w:t>Conocer la forma como están conformadas las plantillas de los Departamentos de Tecnologías de Información de las IES que participan en el estudio, su ubicación en el organigrama y su forma de trabajo.</w:t>
            </w:r>
          </w:p>
        </w:tc>
        <w:tc>
          <w:tcPr>
            <w:tcW w:w="1422" w:type="dxa"/>
            <w:shd w:val="clear" w:color="auto" w:fill="auto"/>
            <w:tcMar>
              <w:top w:w="15" w:type="dxa"/>
              <w:left w:w="59" w:type="dxa"/>
              <w:bottom w:w="0" w:type="dxa"/>
              <w:right w:w="59" w:type="dxa"/>
            </w:tcMar>
            <w:hideMark/>
          </w:tcPr>
          <w:p w14:paraId="653CFD23" w14:textId="77777777" w:rsidR="00AC72C1" w:rsidRPr="00B94204" w:rsidRDefault="00AC72C1" w:rsidP="0017553E">
            <w:pPr>
              <w:jc w:val="center"/>
            </w:pPr>
            <w:r w:rsidRPr="00B94204">
              <w:t>11</w:t>
            </w:r>
          </w:p>
        </w:tc>
      </w:tr>
      <w:tr w:rsidR="00AC72C1" w:rsidRPr="00B94204" w14:paraId="6A946A9E" w14:textId="77777777" w:rsidTr="00FA1A2A">
        <w:trPr>
          <w:trHeight w:val="781"/>
          <w:jc w:val="center"/>
        </w:trPr>
        <w:tc>
          <w:tcPr>
            <w:tcW w:w="846" w:type="dxa"/>
            <w:shd w:val="clear" w:color="auto" w:fill="auto"/>
            <w:tcMar>
              <w:top w:w="15" w:type="dxa"/>
              <w:left w:w="59" w:type="dxa"/>
              <w:bottom w:w="0" w:type="dxa"/>
              <w:right w:w="59" w:type="dxa"/>
            </w:tcMar>
            <w:hideMark/>
          </w:tcPr>
          <w:p w14:paraId="674C721E" w14:textId="77777777" w:rsidR="00AC72C1" w:rsidRPr="00B94204" w:rsidRDefault="00AC72C1" w:rsidP="00AC72C1">
            <w:r w:rsidRPr="00B94204">
              <w:t>3</w:t>
            </w:r>
          </w:p>
        </w:tc>
        <w:tc>
          <w:tcPr>
            <w:tcW w:w="1843" w:type="dxa"/>
            <w:shd w:val="clear" w:color="auto" w:fill="auto"/>
            <w:tcMar>
              <w:top w:w="15" w:type="dxa"/>
              <w:left w:w="59" w:type="dxa"/>
              <w:bottom w:w="0" w:type="dxa"/>
              <w:right w:w="59" w:type="dxa"/>
            </w:tcMar>
            <w:hideMark/>
          </w:tcPr>
          <w:p w14:paraId="7AC2D804" w14:textId="77777777" w:rsidR="00AC72C1" w:rsidRPr="00B94204" w:rsidRDefault="00AC72C1" w:rsidP="00254BAB">
            <w:r w:rsidRPr="00B94204">
              <w:t>Portafolio de proyectos</w:t>
            </w:r>
          </w:p>
        </w:tc>
        <w:tc>
          <w:tcPr>
            <w:tcW w:w="4536" w:type="dxa"/>
            <w:shd w:val="clear" w:color="auto" w:fill="auto"/>
            <w:tcMar>
              <w:top w:w="15" w:type="dxa"/>
              <w:left w:w="59" w:type="dxa"/>
              <w:bottom w:w="0" w:type="dxa"/>
              <w:right w:w="59" w:type="dxa"/>
            </w:tcMar>
            <w:hideMark/>
          </w:tcPr>
          <w:p w14:paraId="1FE5F99B" w14:textId="77777777" w:rsidR="00AC72C1" w:rsidRPr="00B94204" w:rsidRDefault="00AC72C1" w:rsidP="00D250D2">
            <w:r w:rsidRPr="00B94204">
              <w:t>Conocer la forma en que las IES llevan su Cartera de Proyectos, cómo la priorizan, cómo administran sus proyectos y cómo informan sus resultados a la Alta Dirección.</w:t>
            </w:r>
          </w:p>
        </w:tc>
        <w:tc>
          <w:tcPr>
            <w:tcW w:w="1422" w:type="dxa"/>
            <w:shd w:val="clear" w:color="auto" w:fill="auto"/>
            <w:tcMar>
              <w:top w:w="15" w:type="dxa"/>
              <w:left w:w="59" w:type="dxa"/>
              <w:bottom w:w="0" w:type="dxa"/>
              <w:right w:w="59" w:type="dxa"/>
            </w:tcMar>
            <w:hideMark/>
          </w:tcPr>
          <w:p w14:paraId="54A5755E" w14:textId="77777777" w:rsidR="00AC72C1" w:rsidRPr="00B94204" w:rsidRDefault="00AC72C1" w:rsidP="0017553E">
            <w:pPr>
              <w:jc w:val="center"/>
            </w:pPr>
            <w:r w:rsidRPr="00B94204">
              <w:t>7</w:t>
            </w:r>
          </w:p>
        </w:tc>
      </w:tr>
      <w:tr w:rsidR="00AC72C1" w:rsidRPr="00B94204" w14:paraId="0AC4242F" w14:textId="77777777" w:rsidTr="00FA1A2A">
        <w:trPr>
          <w:trHeight w:val="516"/>
          <w:jc w:val="center"/>
        </w:trPr>
        <w:tc>
          <w:tcPr>
            <w:tcW w:w="846" w:type="dxa"/>
            <w:shd w:val="clear" w:color="auto" w:fill="auto"/>
            <w:tcMar>
              <w:top w:w="15" w:type="dxa"/>
              <w:left w:w="59" w:type="dxa"/>
              <w:bottom w:w="0" w:type="dxa"/>
              <w:right w:w="59" w:type="dxa"/>
            </w:tcMar>
            <w:hideMark/>
          </w:tcPr>
          <w:p w14:paraId="5ACB1693" w14:textId="77777777" w:rsidR="00AC72C1" w:rsidRPr="00B94204" w:rsidRDefault="00AC72C1" w:rsidP="00AC72C1">
            <w:r w:rsidRPr="00B94204">
              <w:t>4</w:t>
            </w:r>
          </w:p>
        </w:tc>
        <w:tc>
          <w:tcPr>
            <w:tcW w:w="1843" w:type="dxa"/>
            <w:shd w:val="clear" w:color="auto" w:fill="auto"/>
            <w:tcMar>
              <w:top w:w="15" w:type="dxa"/>
              <w:left w:w="59" w:type="dxa"/>
              <w:bottom w:w="0" w:type="dxa"/>
              <w:right w:w="59" w:type="dxa"/>
            </w:tcMar>
            <w:hideMark/>
          </w:tcPr>
          <w:p w14:paraId="3C2DE3D0" w14:textId="77777777" w:rsidR="00AC72C1" w:rsidRPr="00B94204" w:rsidRDefault="00AC72C1" w:rsidP="00254BAB">
            <w:r w:rsidRPr="00B94204">
              <w:t>Servicios de TIC</w:t>
            </w:r>
          </w:p>
        </w:tc>
        <w:tc>
          <w:tcPr>
            <w:tcW w:w="4536" w:type="dxa"/>
            <w:shd w:val="clear" w:color="auto" w:fill="auto"/>
            <w:tcMar>
              <w:top w:w="15" w:type="dxa"/>
              <w:left w:w="59" w:type="dxa"/>
              <w:bottom w:w="0" w:type="dxa"/>
              <w:right w:w="59" w:type="dxa"/>
            </w:tcMar>
            <w:hideMark/>
          </w:tcPr>
          <w:p w14:paraId="4789774E" w14:textId="77777777" w:rsidR="00AC72C1" w:rsidRPr="00B94204" w:rsidRDefault="00AC72C1" w:rsidP="00D250D2">
            <w:r w:rsidRPr="00B94204">
              <w:t>Conocer la formalidad con la que se llevan a cabo los Servicios de TIC en los Departamentos de Tecnologías de Información de las IES participantes.</w:t>
            </w:r>
          </w:p>
        </w:tc>
        <w:tc>
          <w:tcPr>
            <w:tcW w:w="1422" w:type="dxa"/>
            <w:shd w:val="clear" w:color="auto" w:fill="auto"/>
            <w:tcMar>
              <w:top w:w="15" w:type="dxa"/>
              <w:left w:w="59" w:type="dxa"/>
              <w:bottom w:w="0" w:type="dxa"/>
              <w:right w:w="59" w:type="dxa"/>
            </w:tcMar>
            <w:hideMark/>
          </w:tcPr>
          <w:p w14:paraId="7FB2D5E1" w14:textId="77777777" w:rsidR="00AC72C1" w:rsidRPr="00B94204" w:rsidRDefault="00AC72C1" w:rsidP="0017553E">
            <w:pPr>
              <w:jc w:val="center"/>
            </w:pPr>
            <w:r w:rsidRPr="00B94204">
              <w:t>10</w:t>
            </w:r>
          </w:p>
        </w:tc>
      </w:tr>
      <w:tr w:rsidR="00AC72C1" w:rsidRPr="00B94204" w14:paraId="6E94F365" w14:textId="77777777" w:rsidTr="00FA1A2A">
        <w:trPr>
          <w:trHeight w:val="1309"/>
          <w:jc w:val="center"/>
        </w:trPr>
        <w:tc>
          <w:tcPr>
            <w:tcW w:w="846" w:type="dxa"/>
            <w:shd w:val="clear" w:color="auto" w:fill="auto"/>
            <w:tcMar>
              <w:top w:w="15" w:type="dxa"/>
              <w:left w:w="59" w:type="dxa"/>
              <w:bottom w:w="0" w:type="dxa"/>
              <w:right w:w="59" w:type="dxa"/>
            </w:tcMar>
            <w:hideMark/>
          </w:tcPr>
          <w:p w14:paraId="21ACD3E7" w14:textId="77777777" w:rsidR="00AC72C1" w:rsidRPr="00B94204" w:rsidRDefault="00AC72C1" w:rsidP="00AC72C1">
            <w:r w:rsidRPr="00B94204">
              <w:t>5</w:t>
            </w:r>
          </w:p>
        </w:tc>
        <w:tc>
          <w:tcPr>
            <w:tcW w:w="1843" w:type="dxa"/>
            <w:shd w:val="clear" w:color="auto" w:fill="auto"/>
            <w:tcMar>
              <w:top w:w="15" w:type="dxa"/>
              <w:left w:w="59" w:type="dxa"/>
              <w:bottom w:w="0" w:type="dxa"/>
              <w:right w:w="59" w:type="dxa"/>
            </w:tcMar>
            <w:hideMark/>
          </w:tcPr>
          <w:p w14:paraId="7E49FA90" w14:textId="77777777" w:rsidR="00AC72C1" w:rsidRPr="00B94204" w:rsidRDefault="00AC72C1" w:rsidP="00254BAB">
            <w:r w:rsidRPr="00B94204">
              <w:t>Seguridad de la información</w:t>
            </w:r>
          </w:p>
        </w:tc>
        <w:tc>
          <w:tcPr>
            <w:tcW w:w="4536" w:type="dxa"/>
            <w:shd w:val="clear" w:color="auto" w:fill="auto"/>
            <w:tcMar>
              <w:top w:w="15" w:type="dxa"/>
              <w:left w:w="59" w:type="dxa"/>
              <w:bottom w:w="0" w:type="dxa"/>
              <w:right w:w="59" w:type="dxa"/>
            </w:tcMar>
            <w:hideMark/>
          </w:tcPr>
          <w:p w14:paraId="771E689C" w14:textId="77777777" w:rsidR="00AC72C1" w:rsidRPr="00B94204" w:rsidRDefault="00AC72C1" w:rsidP="00D250D2">
            <w:r w:rsidRPr="00B94204">
              <w:t>Conocer la existencia de recursos económicos, humanos y tecnológicos, que permiten a las IES establecer los planes, metodologías y certificaciones enfocados a la seguridad de la información, así como la implementación y mantenimiento de un Sistema de Gestión de la Seguridad de la Información (SGSI).</w:t>
            </w:r>
          </w:p>
        </w:tc>
        <w:tc>
          <w:tcPr>
            <w:tcW w:w="1422" w:type="dxa"/>
            <w:shd w:val="clear" w:color="auto" w:fill="auto"/>
            <w:tcMar>
              <w:top w:w="15" w:type="dxa"/>
              <w:left w:w="59" w:type="dxa"/>
              <w:bottom w:w="0" w:type="dxa"/>
              <w:right w:w="59" w:type="dxa"/>
            </w:tcMar>
            <w:hideMark/>
          </w:tcPr>
          <w:p w14:paraId="64A02414" w14:textId="77777777" w:rsidR="00AC72C1" w:rsidRPr="00B94204" w:rsidRDefault="00AC72C1" w:rsidP="0017553E">
            <w:pPr>
              <w:jc w:val="center"/>
            </w:pPr>
            <w:r w:rsidRPr="00B94204">
              <w:t>23</w:t>
            </w:r>
          </w:p>
        </w:tc>
      </w:tr>
      <w:tr w:rsidR="00AC72C1" w:rsidRPr="00B94204" w14:paraId="66DBDF8C" w14:textId="77777777" w:rsidTr="00FA1A2A">
        <w:trPr>
          <w:trHeight w:val="1045"/>
          <w:jc w:val="center"/>
        </w:trPr>
        <w:tc>
          <w:tcPr>
            <w:tcW w:w="846" w:type="dxa"/>
            <w:shd w:val="clear" w:color="auto" w:fill="auto"/>
            <w:tcMar>
              <w:top w:w="15" w:type="dxa"/>
              <w:left w:w="59" w:type="dxa"/>
              <w:bottom w:w="0" w:type="dxa"/>
              <w:right w:w="59" w:type="dxa"/>
            </w:tcMar>
            <w:hideMark/>
          </w:tcPr>
          <w:p w14:paraId="634A6B9E" w14:textId="77777777" w:rsidR="00AC72C1" w:rsidRPr="00B94204" w:rsidRDefault="00AC72C1" w:rsidP="00AC72C1">
            <w:r w:rsidRPr="00B94204">
              <w:t>6</w:t>
            </w:r>
          </w:p>
        </w:tc>
        <w:tc>
          <w:tcPr>
            <w:tcW w:w="1843" w:type="dxa"/>
            <w:shd w:val="clear" w:color="auto" w:fill="auto"/>
            <w:tcMar>
              <w:top w:w="15" w:type="dxa"/>
              <w:left w:w="59" w:type="dxa"/>
              <w:bottom w:w="0" w:type="dxa"/>
              <w:right w:w="59" w:type="dxa"/>
            </w:tcMar>
            <w:hideMark/>
          </w:tcPr>
          <w:p w14:paraId="390F650A" w14:textId="77777777" w:rsidR="00AC72C1" w:rsidRPr="00B94204" w:rsidRDefault="00AC72C1" w:rsidP="00254BAB">
            <w:r w:rsidRPr="00B94204">
              <w:t>Sistemas de Información Administrativos</w:t>
            </w:r>
          </w:p>
        </w:tc>
        <w:tc>
          <w:tcPr>
            <w:tcW w:w="4536" w:type="dxa"/>
            <w:shd w:val="clear" w:color="auto" w:fill="auto"/>
            <w:tcMar>
              <w:top w:w="15" w:type="dxa"/>
              <w:left w:w="59" w:type="dxa"/>
              <w:bottom w:w="0" w:type="dxa"/>
              <w:right w:w="59" w:type="dxa"/>
            </w:tcMar>
            <w:hideMark/>
          </w:tcPr>
          <w:p w14:paraId="1EA405E7" w14:textId="77777777" w:rsidR="00AC72C1" w:rsidRPr="00B94204" w:rsidRDefault="00AC72C1" w:rsidP="00D250D2">
            <w:r w:rsidRPr="00B94204">
              <w:t>Conocer los Sistemas de Información para la gestión administrativa que apoyan a las IES a tener homologados sus procesos, automatizar sus trámites, cumplir con los Organismos Externos, ofrecer servicios móviles o por la página de la Institución y generar indicadores ejecutivos para apoyo a toma de decisiones.</w:t>
            </w:r>
          </w:p>
        </w:tc>
        <w:tc>
          <w:tcPr>
            <w:tcW w:w="1422" w:type="dxa"/>
            <w:shd w:val="clear" w:color="auto" w:fill="auto"/>
            <w:tcMar>
              <w:top w:w="15" w:type="dxa"/>
              <w:left w:w="59" w:type="dxa"/>
              <w:bottom w:w="0" w:type="dxa"/>
              <w:right w:w="59" w:type="dxa"/>
            </w:tcMar>
            <w:hideMark/>
          </w:tcPr>
          <w:p w14:paraId="15833D85" w14:textId="77777777" w:rsidR="00AC72C1" w:rsidRPr="00B94204" w:rsidRDefault="00AC72C1" w:rsidP="0017553E">
            <w:pPr>
              <w:jc w:val="center"/>
            </w:pPr>
            <w:r w:rsidRPr="00B94204">
              <w:t>9</w:t>
            </w:r>
          </w:p>
        </w:tc>
      </w:tr>
      <w:tr w:rsidR="00AC72C1" w:rsidRPr="00B94204" w14:paraId="37670BE5" w14:textId="77777777" w:rsidTr="00FA1A2A">
        <w:trPr>
          <w:trHeight w:val="1045"/>
          <w:jc w:val="center"/>
        </w:trPr>
        <w:tc>
          <w:tcPr>
            <w:tcW w:w="846" w:type="dxa"/>
            <w:shd w:val="clear" w:color="auto" w:fill="auto"/>
            <w:tcMar>
              <w:top w:w="15" w:type="dxa"/>
              <w:left w:w="59" w:type="dxa"/>
              <w:bottom w:w="0" w:type="dxa"/>
              <w:right w:w="59" w:type="dxa"/>
            </w:tcMar>
            <w:hideMark/>
          </w:tcPr>
          <w:p w14:paraId="1C1BDB99" w14:textId="77777777" w:rsidR="00AC72C1" w:rsidRPr="00B94204" w:rsidRDefault="00AC72C1" w:rsidP="00AC72C1">
            <w:r w:rsidRPr="00B94204">
              <w:t>7</w:t>
            </w:r>
          </w:p>
        </w:tc>
        <w:tc>
          <w:tcPr>
            <w:tcW w:w="1843" w:type="dxa"/>
            <w:shd w:val="clear" w:color="auto" w:fill="auto"/>
            <w:tcMar>
              <w:top w:w="15" w:type="dxa"/>
              <w:left w:w="59" w:type="dxa"/>
              <w:bottom w:w="0" w:type="dxa"/>
              <w:right w:w="59" w:type="dxa"/>
            </w:tcMar>
            <w:hideMark/>
          </w:tcPr>
          <w:p w14:paraId="73C438F9" w14:textId="77777777" w:rsidR="00AC72C1" w:rsidRPr="00B94204" w:rsidRDefault="00AC72C1" w:rsidP="00254BAB">
            <w:r w:rsidRPr="00B94204">
              <w:t>Servicios a la Academia y a la Investigación</w:t>
            </w:r>
          </w:p>
        </w:tc>
        <w:tc>
          <w:tcPr>
            <w:tcW w:w="4536" w:type="dxa"/>
            <w:shd w:val="clear" w:color="auto" w:fill="auto"/>
            <w:tcMar>
              <w:top w:w="15" w:type="dxa"/>
              <w:left w:w="59" w:type="dxa"/>
              <w:bottom w:w="0" w:type="dxa"/>
              <w:right w:w="59" w:type="dxa"/>
            </w:tcMar>
            <w:hideMark/>
          </w:tcPr>
          <w:p w14:paraId="49CA91BB" w14:textId="77777777" w:rsidR="00AC72C1" w:rsidRPr="00B94204" w:rsidRDefault="00AC72C1" w:rsidP="00D250D2">
            <w:r w:rsidRPr="00B94204">
              <w:t>Conocer los servicios que ofrecen los Departamentos de Tecnologías de Información de las IES tanto a la academia como a las áreas de investigación, su formalización a través del Catálogo de Servicio y Niveles de Servicio.</w:t>
            </w:r>
          </w:p>
        </w:tc>
        <w:tc>
          <w:tcPr>
            <w:tcW w:w="1422" w:type="dxa"/>
            <w:shd w:val="clear" w:color="auto" w:fill="auto"/>
            <w:tcMar>
              <w:top w:w="15" w:type="dxa"/>
              <w:left w:w="59" w:type="dxa"/>
              <w:bottom w:w="0" w:type="dxa"/>
              <w:right w:w="59" w:type="dxa"/>
            </w:tcMar>
            <w:hideMark/>
          </w:tcPr>
          <w:p w14:paraId="7B4594B6" w14:textId="77777777" w:rsidR="00AC72C1" w:rsidRPr="00B94204" w:rsidRDefault="00AC72C1" w:rsidP="0017553E">
            <w:pPr>
              <w:jc w:val="center"/>
            </w:pPr>
            <w:r w:rsidRPr="00B94204">
              <w:t>17</w:t>
            </w:r>
          </w:p>
        </w:tc>
      </w:tr>
      <w:tr w:rsidR="00AC72C1" w:rsidRPr="00B94204" w14:paraId="197437F5" w14:textId="77777777" w:rsidTr="00FA1A2A">
        <w:trPr>
          <w:trHeight w:val="516"/>
          <w:jc w:val="center"/>
        </w:trPr>
        <w:tc>
          <w:tcPr>
            <w:tcW w:w="846" w:type="dxa"/>
            <w:shd w:val="clear" w:color="auto" w:fill="auto"/>
            <w:tcMar>
              <w:top w:w="15" w:type="dxa"/>
              <w:left w:w="59" w:type="dxa"/>
              <w:bottom w:w="0" w:type="dxa"/>
              <w:right w:w="59" w:type="dxa"/>
            </w:tcMar>
            <w:hideMark/>
          </w:tcPr>
          <w:p w14:paraId="07401AC0" w14:textId="77777777" w:rsidR="00AC72C1" w:rsidRPr="00B94204" w:rsidRDefault="00AC72C1" w:rsidP="00AC72C1">
            <w:r w:rsidRPr="00B94204">
              <w:t>8</w:t>
            </w:r>
          </w:p>
        </w:tc>
        <w:tc>
          <w:tcPr>
            <w:tcW w:w="1843" w:type="dxa"/>
            <w:shd w:val="clear" w:color="auto" w:fill="auto"/>
            <w:tcMar>
              <w:top w:w="15" w:type="dxa"/>
              <w:left w:w="59" w:type="dxa"/>
              <w:bottom w:w="0" w:type="dxa"/>
              <w:right w:w="59" w:type="dxa"/>
            </w:tcMar>
            <w:hideMark/>
          </w:tcPr>
          <w:p w14:paraId="414EE0F6" w14:textId="77777777" w:rsidR="00AC72C1" w:rsidRPr="00B94204" w:rsidRDefault="00AC72C1" w:rsidP="00254BAB">
            <w:r w:rsidRPr="00B94204">
              <w:t>Calidad de TIC</w:t>
            </w:r>
          </w:p>
        </w:tc>
        <w:tc>
          <w:tcPr>
            <w:tcW w:w="4536" w:type="dxa"/>
            <w:shd w:val="clear" w:color="auto" w:fill="auto"/>
            <w:tcMar>
              <w:top w:w="15" w:type="dxa"/>
              <w:left w:w="59" w:type="dxa"/>
              <w:bottom w:w="0" w:type="dxa"/>
              <w:right w:w="59" w:type="dxa"/>
            </w:tcMar>
            <w:hideMark/>
          </w:tcPr>
          <w:p w14:paraId="0A191377" w14:textId="77777777" w:rsidR="00AC72C1" w:rsidRPr="00B94204" w:rsidRDefault="00AC72C1" w:rsidP="00D250D2">
            <w:r w:rsidRPr="00B94204">
              <w:t>Conocer las normas de calidad implementadas en los departamentos de TIC de las IES.</w:t>
            </w:r>
          </w:p>
        </w:tc>
        <w:tc>
          <w:tcPr>
            <w:tcW w:w="1422" w:type="dxa"/>
            <w:shd w:val="clear" w:color="auto" w:fill="auto"/>
            <w:tcMar>
              <w:top w:w="15" w:type="dxa"/>
              <w:left w:w="59" w:type="dxa"/>
              <w:bottom w:w="0" w:type="dxa"/>
              <w:right w:w="59" w:type="dxa"/>
            </w:tcMar>
            <w:hideMark/>
          </w:tcPr>
          <w:p w14:paraId="7F0C6463" w14:textId="77777777" w:rsidR="00AC72C1" w:rsidRPr="00B94204" w:rsidRDefault="00AC72C1" w:rsidP="0017553E">
            <w:pPr>
              <w:jc w:val="center"/>
            </w:pPr>
            <w:r w:rsidRPr="00B94204">
              <w:t>10</w:t>
            </w:r>
          </w:p>
        </w:tc>
      </w:tr>
      <w:tr w:rsidR="00AC72C1" w:rsidRPr="00B94204" w14:paraId="613980F7" w14:textId="77777777" w:rsidTr="00FA1A2A">
        <w:trPr>
          <w:trHeight w:val="781"/>
          <w:jc w:val="center"/>
        </w:trPr>
        <w:tc>
          <w:tcPr>
            <w:tcW w:w="846" w:type="dxa"/>
            <w:shd w:val="clear" w:color="auto" w:fill="auto"/>
            <w:tcMar>
              <w:top w:w="15" w:type="dxa"/>
              <w:left w:w="59" w:type="dxa"/>
              <w:bottom w:w="0" w:type="dxa"/>
              <w:right w:w="59" w:type="dxa"/>
            </w:tcMar>
            <w:hideMark/>
          </w:tcPr>
          <w:p w14:paraId="1A936D93" w14:textId="77777777" w:rsidR="00AC72C1" w:rsidRPr="00B94204" w:rsidRDefault="00AC72C1" w:rsidP="00AC72C1">
            <w:r w:rsidRPr="00B94204">
              <w:t>9</w:t>
            </w:r>
          </w:p>
        </w:tc>
        <w:tc>
          <w:tcPr>
            <w:tcW w:w="1843" w:type="dxa"/>
            <w:shd w:val="clear" w:color="auto" w:fill="auto"/>
            <w:tcMar>
              <w:top w:w="15" w:type="dxa"/>
              <w:left w:w="59" w:type="dxa"/>
              <w:bottom w:w="0" w:type="dxa"/>
              <w:right w:w="59" w:type="dxa"/>
            </w:tcMar>
            <w:hideMark/>
          </w:tcPr>
          <w:p w14:paraId="24DF6364" w14:textId="77777777" w:rsidR="00AC72C1" w:rsidRPr="00B94204" w:rsidRDefault="00AC72C1" w:rsidP="00254BAB">
            <w:r w:rsidRPr="00B94204">
              <w:t>Infraestructura</w:t>
            </w:r>
          </w:p>
        </w:tc>
        <w:tc>
          <w:tcPr>
            <w:tcW w:w="4536" w:type="dxa"/>
            <w:shd w:val="clear" w:color="auto" w:fill="auto"/>
            <w:tcMar>
              <w:top w:w="15" w:type="dxa"/>
              <w:left w:w="59" w:type="dxa"/>
              <w:bottom w:w="0" w:type="dxa"/>
              <w:right w:w="59" w:type="dxa"/>
            </w:tcMar>
            <w:hideMark/>
          </w:tcPr>
          <w:p w14:paraId="28F4B5A4" w14:textId="77777777" w:rsidR="00AC72C1" w:rsidRPr="00B94204" w:rsidRDefault="00AC72C1" w:rsidP="00D250D2">
            <w:r w:rsidRPr="00B94204">
              <w:t>Conocer son las capacidades de infraestructura con las que se cuenta en las IES, además del nivel de planeación y control de la Infraestructura que existe en las Instituciones.</w:t>
            </w:r>
          </w:p>
        </w:tc>
        <w:tc>
          <w:tcPr>
            <w:tcW w:w="1422" w:type="dxa"/>
            <w:shd w:val="clear" w:color="auto" w:fill="auto"/>
            <w:tcMar>
              <w:top w:w="15" w:type="dxa"/>
              <w:left w:w="59" w:type="dxa"/>
              <w:bottom w:w="0" w:type="dxa"/>
              <w:right w:w="59" w:type="dxa"/>
            </w:tcMar>
            <w:hideMark/>
          </w:tcPr>
          <w:p w14:paraId="4EE924E7" w14:textId="77777777" w:rsidR="00AC72C1" w:rsidRPr="00B94204" w:rsidRDefault="00AC72C1" w:rsidP="0017553E">
            <w:pPr>
              <w:jc w:val="center"/>
            </w:pPr>
            <w:r w:rsidRPr="00B94204">
              <w:t>18</w:t>
            </w:r>
          </w:p>
        </w:tc>
      </w:tr>
      <w:tr w:rsidR="00AC72C1" w:rsidRPr="00B94204" w14:paraId="16E196F9" w14:textId="77777777" w:rsidTr="00FA1A2A">
        <w:trPr>
          <w:trHeight w:val="516"/>
          <w:jc w:val="center"/>
        </w:trPr>
        <w:tc>
          <w:tcPr>
            <w:tcW w:w="846" w:type="dxa"/>
            <w:shd w:val="clear" w:color="auto" w:fill="auto"/>
            <w:tcMar>
              <w:top w:w="15" w:type="dxa"/>
              <w:left w:w="59" w:type="dxa"/>
              <w:bottom w:w="0" w:type="dxa"/>
              <w:right w:w="59" w:type="dxa"/>
            </w:tcMar>
            <w:hideMark/>
          </w:tcPr>
          <w:p w14:paraId="761575C5" w14:textId="77777777" w:rsidR="00AC72C1" w:rsidRPr="00B94204" w:rsidRDefault="00AC72C1" w:rsidP="00AC72C1">
            <w:r w:rsidRPr="00B94204">
              <w:lastRenderedPageBreak/>
              <w:t>10</w:t>
            </w:r>
          </w:p>
        </w:tc>
        <w:tc>
          <w:tcPr>
            <w:tcW w:w="1843" w:type="dxa"/>
            <w:shd w:val="clear" w:color="auto" w:fill="auto"/>
            <w:tcMar>
              <w:top w:w="15" w:type="dxa"/>
              <w:left w:w="59" w:type="dxa"/>
              <w:bottom w:w="0" w:type="dxa"/>
              <w:right w:w="59" w:type="dxa"/>
            </w:tcMar>
            <w:hideMark/>
          </w:tcPr>
          <w:p w14:paraId="3053F1F1" w14:textId="77777777" w:rsidR="00AC72C1" w:rsidRPr="00B94204" w:rsidRDefault="00AC72C1" w:rsidP="00254BAB">
            <w:r w:rsidRPr="00B94204">
              <w:t>Administración Electrónica</w:t>
            </w:r>
          </w:p>
        </w:tc>
        <w:tc>
          <w:tcPr>
            <w:tcW w:w="4536" w:type="dxa"/>
            <w:shd w:val="clear" w:color="auto" w:fill="auto"/>
            <w:tcMar>
              <w:top w:w="15" w:type="dxa"/>
              <w:left w:w="59" w:type="dxa"/>
              <w:bottom w:w="0" w:type="dxa"/>
              <w:right w:w="59" w:type="dxa"/>
            </w:tcMar>
            <w:hideMark/>
          </w:tcPr>
          <w:p w14:paraId="1F756945" w14:textId="77777777" w:rsidR="00AC72C1" w:rsidRPr="00B94204" w:rsidRDefault="00AC72C1" w:rsidP="00D250D2">
            <w:r w:rsidRPr="00B94204">
              <w:t>Conocer los servicios ofrecidos por la IES por medios electrónicos (Página web oficial y aplicaciones móviles Institucionales) a su Comunidad Universitaria.</w:t>
            </w:r>
          </w:p>
        </w:tc>
        <w:tc>
          <w:tcPr>
            <w:tcW w:w="1422" w:type="dxa"/>
            <w:shd w:val="clear" w:color="auto" w:fill="auto"/>
            <w:tcMar>
              <w:top w:w="15" w:type="dxa"/>
              <w:left w:w="59" w:type="dxa"/>
              <w:bottom w:w="0" w:type="dxa"/>
              <w:right w:w="59" w:type="dxa"/>
            </w:tcMar>
            <w:hideMark/>
          </w:tcPr>
          <w:p w14:paraId="765430D0" w14:textId="77777777" w:rsidR="00AC72C1" w:rsidRPr="00B94204" w:rsidRDefault="00AC72C1" w:rsidP="0017553E">
            <w:pPr>
              <w:jc w:val="center"/>
            </w:pPr>
            <w:r w:rsidRPr="00B94204">
              <w:t>7</w:t>
            </w:r>
          </w:p>
        </w:tc>
      </w:tr>
      <w:tr w:rsidR="00AC72C1" w:rsidRPr="00B94204" w14:paraId="4AE536D0" w14:textId="77777777" w:rsidTr="00FA1A2A">
        <w:trPr>
          <w:trHeight w:val="781"/>
          <w:jc w:val="center"/>
        </w:trPr>
        <w:tc>
          <w:tcPr>
            <w:tcW w:w="846" w:type="dxa"/>
            <w:shd w:val="clear" w:color="auto" w:fill="auto"/>
            <w:tcMar>
              <w:top w:w="15" w:type="dxa"/>
              <w:left w:w="59" w:type="dxa"/>
              <w:bottom w:w="0" w:type="dxa"/>
              <w:right w:w="59" w:type="dxa"/>
            </w:tcMar>
            <w:hideMark/>
          </w:tcPr>
          <w:p w14:paraId="6769883A" w14:textId="77777777" w:rsidR="00AC72C1" w:rsidRPr="00B94204" w:rsidRDefault="00AC72C1" w:rsidP="00AC72C1">
            <w:r w:rsidRPr="00B94204">
              <w:t>11</w:t>
            </w:r>
          </w:p>
        </w:tc>
        <w:tc>
          <w:tcPr>
            <w:tcW w:w="1843" w:type="dxa"/>
            <w:shd w:val="clear" w:color="auto" w:fill="auto"/>
            <w:tcMar>
              <w:top w:w="15" w:type="dxa"/>
              <w:left w:w="59" w:type="dxa"/>
              <w:bottom w:w="0" w:type="dxa"/>
              <w:right w:w="59" w:type="dxa"/>
            </w:tcMar>
            <w:hideMark/>
          </w:tcPr>
          <w:p w14:paraId="569BF4A2" w14:textId="77777777" w:rsidR="00AC72C1" w:rsidRPr="00B94204" w:rsidRDefault="00AC72C1" w:rsidP="00254BAB">
            <w:r w:rsidRPr="00B94204">
              <w:t>Nuevas Tecnologías</w:t>
            </w:r>
          </w:p>
        </w:tc>
        <w:tc>
          <w:tcPr>
            <w:tcW w:w="4536" w:type="dxa"/>
            <w:shd w:val="clear" w:color="auto" w:fill="auto"/>
            <w:tcMar>
              <w:top w:w="15" w:type="dxa"/>
              <w:left w:w="59" w:type="dxa"/>
              <w:bottom w:w="0" w:type="dxa"/>
              <w:right w:w="59" w:type="dxa"/>
            </w:tcMar>
            <w:hideMark/>
          </w:tcPr>
          <w:p w14:paraId="3804C358" w14:textId="77777777" w:rsidR="00AC72C1" w:rsidRPr="00B94204" w:rsidRDefault="00AC72C1" w:rsidP="00D250D2">
            <w:r w:rsidRPr="00B94204">
              <w:t>Explorar el nivel de avance que existe en las IES en algunas tecnologías emergentes, principalmente las tecnologías que impactan a la educación.</w:t>
            </w:r>
          </w:p>
        </w:tc>
        <w:tc>
          <w:tcPr>
            <w:tcW w:w="1422" w:type="dxa"/>
            <w:shd w:val="clear" w:color="auto" w:fill="auto"/>
            <w:tcMar>
              <w:top w:w="15" w:type="dxa"/>
              <w:left w:w="59" w:type="dxa"/>
              <w:bottom w:w="0" w:type="dxa"/>
              <w:right w:w="59" w:type="dxa"/>
            </w:tcMar>
            <w:hideMark/>
          </w:tcPr>
          <w:p w14:paraId="29C6CE4D" w14:textId="77777777" w:rsidR="00AC72C1" w:rsidRPr="00B94204" w:rsidRDefault="00AC72C1" w:rsidP="0017553E">
            <w:pPr>
              <w:jc w:val="center"/>
            </w:pPr>
            <w:r w:rsidRPr="00B94204">
              <w:t>12</w:t>
            </w:r>
          </w:p>
        </w:tc>
      </w:tr>
      <w:tr w:rsidR="00AC72C1" w:rsidRPr="00B94204" w14:paraId="556CC64F" w14:textId="77777777" w:rsidTr="00FA1A2A">
        <w:trPr>
          <w:trHeight w:val="781"/>
          <w:jc w:val="center"/>
        </w:trPr>
        <w:tc>
          <w:tcPr>
            <w:tcW w:w="846" w:type="dxa"/>
            <w:shd w:val="clear" w:color="auto" w:fill="auto"/>
            <w:tcMar>
              <w:top w:w="15" w:type="dxa"/>
              <w:left w:w="59" w:type="dxa"/>
              <w:bottom w:w="0" w:type="dxa"/>
              <w:right w:w="59" w:type="dxa"/>
            </w:tcMar>
            <w:hideMark/>
          </w:tcPr>
          <w:p w14:paraId="5674B768" w14:textId="77777777" w:rsidR="00AC72C1" w:rsidRPr="00B94204" w:rsidRDefault="00AC72C1" w:rsidP="00AC72C1">
            <w:r w:rsidRPr="00B94204">
              <w:t>12</w:t>
            </w:r>
          </w:p>
        </w:tc>
        <w:tc>
          <w:tcPr>
            <w:tcW w:w="1843" w:type="dxa"/>
            <w:shd w:val="clear" w:color="auto" w:fill="auto"/>
            <w:tcMar>
              <w:top w:w="15" w:type="dxa"/>
              <w:left w:w="59" w:type="dxa"/>
              <w:bottom w:w="0" w:type="dxa"/>
              <w:right w:w="59" w:type="dxa"/>
            </w:tcMar>
            <w:hideMark/>
          </w:tcPr>
          <w:p w14:paraId="56ACF58F" w14:textId="77777777" w:rsidR="00AC72C1" w:rsidRPr="00B94204" w:rsidRDefault="00AC72C1" w:rsidP="00254BAB">
            <w:r w:rsidRPr="00B94204">
              <w:t>Software libre</w:t>
            </w:r>
          </w:p>
        </w:tc>
        <w:tc>
          <w:tcPr>
            <w:tcW w:w="4536" w:type="dxa"/>
            <w:shd w:val="clear" w:color="auto" w:fill="auto"/>
            <w:tcMar>
              <w:top w:w="15" w:type="dxa"/>
              <w:left w:w="59" w:type="dxa"/>
              <w:bottom w:w="0" w:type="dxa"/>
              <w:right w:w="59" w:type="dxa"/>
            </w:tcMar>
            <w:hideMark/>
          </w:tcPr>
          <w:p w14:paraId="4455548D" w14:textId="77777777" w:rsidR="00AC72C1" w:rsidRPr="00B94204" w:rsidRDefault="00AC72C1" w:rsidP="00D250D2">
            <w:r w:rsidRPr="00B94204">
              <w:t>Conocer el uso del software libre de las IES y su utilidad para la Comunidad Universitaria, identificar los ámbitos en los que se usa y proponer opciones de uso de software libre.</w:t>
            </w:r>
          </w:p>
        </w:tc>
        <w:tc>
          <w:tcPr>
            <w:tcW w:w="1422" w:type="dxa"/>
            <w:shd w:val="clear" w:color="auto" w:fill="auto"/>
            <w:tcMar>
              <w:top w:w="15" w:type="dxa"/>
              <w:left w:w="59" w:type="dxa"/>
              <w:bottom w:w="0" w:type="dxa"/>
              <w:right w:w="59" w:type="dxa"/>
            </w:tcMar>
            <w:hideMark/>
          </w:tcPr>
          <w:p w14:paraId="18998AC1" w14:textId="77777777" w:rsidR="00AC72C1" w:rsidRPr="00B94204" w:rsidRDefault="00AC72C1" w:rsidP="0017553E">
            <w:pPr>
              <w:jc w:val="center"/>
            </w:pPr>
            <w:r w:rsidRPr="00B94204">
              <w:t>10</w:t>
            </w:r>
          </w:p>
        </w:tc>
      </w:tr>
    </w:tbl>
    <w:p w14:paraId="51B1DA19" w14:textId="57ACCC54" w:rsidR="00D75AF6" w:rsidRDefault="0017553E" w:rsidP="00C7160A">
      <w:pPr>
        <w:autoSpaceDE w:val="0"/>
        <w:autoSpaceDN w:val="0"/>
        <w:adjustRightInd w:val="0"/>
        <w:spacing w:line="360" w:lineRule="auto"/>
        <w:jc w:val="center"/>
      </w:pPr>
      <w:r>
        <w:t xml:space="preserve">Fuente: </w:t>
      </w:r>
      <w:r w:rsidR="00822C6B" w:rsidRPr="007B3952">
        <w:t>Elaboración propia basada en Estado actual de las Tecnologías de la Información y la Comunicación en las Instituciones de Educación Superior de México: Estudio 2019, Ponce, J. L. (coord.) (2019)</w:t>
      </w:r>
    </w:p>
    <w:p w14:paraId="1B278FE1" w14:textId="77777777" w:rsidR="00C7160A" w:rsidRPr="00C7160A" w:rsidRDefault="00C7160A" w:rsidP="00C7160A">
      <w:pPr>
        <w:autoSpaceDE w:val="0"/>
        <w:autoSpaceDN w:val="0"/>
        <w:adjustRightInd w:val="0"/>
        <w:spacing w:line="360" w:lineRule="auto"/>
        <w:jc w:val="center"/>
      </w:pPr>
    </w:p>
    <w:p w14:paraId="18A4857E" w14:textId="76AAC0A8" w:rsidR="002D60DE" w:rsidRPr="002D60DE" w:rsidRDefault="002D60DE" w:rsidP="007B3952">
      <w:pPr>
        <w:autoSpaceDE w:val="0"/>
        <w:autoSpaceDN w:val="0"/>
        <w:adjustRightInd w:val="0"/>
        <w:spacing w:line="360" w:lineRule="auto"/>
        <w:jc w:val="center"/>
        <w:rPr>
          <w:b/>
          <w:color w:val="000000"/>
          <w:sz w:val="28"/>
          <w:szCs w:val="28"/>
          <w:lang w:eastAsia="es-ES_tradnl"/>
        </w:rPr>
      </w:pPr>
      <w:r w:rsidRPr="002D60DE">
        <w:rPr>
          <w:b/>
          <w:color w:val="000000"/>
          <w:sz w:val="28"/>
          <w:szCs w:val="28"/>
          <w:lang w:eastAsia="es-ES_tradnl"/>
        </w:rPr>
        <w:t>Modalidades Educativas</w:t>
      </w:r>
    </w:p>
    <w:p w14:paraId="7AA1F6CE" w14:textId="77777777" w:rsidR="002D60DE" w:rsidRPr="002D60DE" w:rsidRDefault="002D60DE" w:rsidP="007B3952">
      <w:pPr>
        <w:spacing w:line="360" w:lineRule="auto"/>
        <w:ind w:firstLine="709"/>
        <w:rPr>
          <w:rFonts w:eastAsiaTheme="minorHAnsi"/>
          <w:lang w:eastAsia="en-US"/>
        </w:rPr>
      </w:pPr>
      <w:r w:rsidRPr="002D60DE">
        <w:rPr>
          <w:rFonts w:eastAsiaTheme="minorHAnsi"/>
          <w:lang w:eastAsia="en-US"/>
        </w:rPr>
        <w:t>La modalidad educativa, según Barroso (2006), es la forma específica de ofrecer un servicio educativo con relación a los procedimientos administrativos, estrategias de aprendizaje y apoyos didácticos.</w:t>
      </w:r>
    </w:p>
    <w:p w14:paraId="32863A58" w14:textId="77777777" w:rsidR="002D60DE" w:rsidRPr="002D60DE" w:rsidRDefault="002D60DE" w:rsidP="007B3952">
      <w:pPr>
        <w:spacing w:line="360" w:lineRule="auto"/>
        <w:ind w:firstLine="709"/>
        <w:rPr>
          <w:rFonts w:eastAsiaTheme="minorHAnsi"/>
          <w:lang w:eastAsia="en-US"/>
        </w:rPr>
      </w:pPr>
      <w:r w:rsidRPr="002D60DE">
        <w:rPr>
          <w:rFonts w:eastAsiaTheme="minorHAnsi"/>
          <w:lang w:eastAsia="en-US"/>
        </w:rPr>
        <w:t>En relación a las modalidades educativas, existen tres:</w:t>
      </w:r>
    </w:p>
    <w:p w14:paraId="6497AD61" w14:textId="74E2D2AB" w:rsidR="002D60DE" w:rsidRPr="002D60DE" w:rsidRDefault="002D60DE" w:rsidP="007B3952">
      <w:pPr>
        <w:spacing w:line="360" w:lineRule="auto"/>
        <w:jc w:val="both"/>
        <w:rPr>
          <w:rFonts w:eastAsiaTheme="minorHAnsi"/>
          <w:lang w:eastAsia="en-US"/>
        </w:rPr>
      </w:pPr>
      <w:r w:rsidRPr="002D60DE">
        <w:rPr>
          <w:rFonts w:eastAsiaTheme="minorHAnsi"/>
          <w:b/>
          <w:bCs/>
          <w:lang w:eastAsia="en-US"/>
        </w:rPr>
        <w:t>Presencial.</w:t>
      </w:r>
      <w:r w:rsidRPr="002D60DE">
        <w:rPr>
          <w:rFonts w:eastAsiaTheme="minorHAnsi"/>
          <w:lang w:eastAsia="en-US"/>
        </w:rPr>
        <w:t xml:space="preserve"> Esta modalidad se caracteriza por (UDECUCEA, 2012):</w:t>
      </w:r>
      <w:r>
        <w:rPr>
          <w:rFonts w:eastAsiaTheme="minorHAnsi"/>
          <w:lang w:eastAsia="en-US"/>
        </w:rPr>
        <w:t xml:space="preserve"> </w:t>
      </w:r>
      <w:r w:rsidRPr="002D60DE">
        <w:rPr>
          <w:rFonts w:eastAsiaTheme="minorHAnsi"/>
          <w:lang w:eastAsia="en-US"/>
        </w:rPr>
        <w:t>Requiere de un espacio físico (aula o salón); Precisa de infraestructura complementaria (mobiliario, sanitarios, aire acondicionado, bebederos, cafetería, biblioteca, sala de conferencias, etc.); El profesor y los estudiantes interactúan de forma sincrónica, deben estar presentes en el mismo lugar y al mismo momento; Se establecen tiempos de inicio y fin de la sesión; El proceso educativo, generalmente, se centra en el profesor; El alumno realiza, generalmente, un proceso memorístico; El profesor transmite los conocimientos a los alumnos; El alumno actúa como oyente y observador, y en forma pasiva comprende lo expuesto por el docente; Se emplean materiales y recursos, generalmente, producidos por los profesores; El costo por alumno puede ser más elevado en comparación con otras modalidades.</w:t>
      </w:r>
    </w:p>
    <w:p w14:paraId="7B50DDAB" w14:textId="684360C3" w:rsidR="002D60DE" w:rsidRDefault="002D60DE" w:rsidP="007B3952">
      <w:pPr>
        <w:spacing w:line="360" w:lineRule="auto"/>
        <w:jc w:val="both"/>
        <w:rPr>
          <w:rFonts w:eastAsiaTheme="minorHAnsi"/>
          <w:lang w:eastAsia="en-US"/>
        </w:rPr>
      </w:pPr>
      <w:r w:rsidRPr="002D60DE">
        <w:rPr>
          <w:rFonts w:eastAsiaTheme="minorHAnsi"/>
          <w:b/>
          <w:bCs/>
          <w:lang w:eastAsia="en-US"/>
        </w:rPr>
        <w:t>No presencial.</w:t>
      </w:r>
      <w:r w:rsidRPr="002D60DE">
        <w:rPr>
          <w:rFonts w:eastAsiaTheme="minorHAnsi"/>
          <w:lang w:eastAsia="en-US"/>
        </w:rPr>
        <w:t xml:space="preserve"> Algunas características de esta modalidad son (UDECUCEA, 2012): El proceso educativo puede llevarse a cabo sin la necesidad de un espacio físico; El proceso de enseñanza aprendizaje se centra en el alumno; La comunicación con compañeros y asesores puede darse en modo asíncrono y síncrono; Se emplean diversos recursos como audios, videos educativos, multimedia, chats, blogs, etc.</w:t>
      </w:r>
    </w:p>
    <w:p w14:paraId="7BE3FE11" w14:textId="77777777" w:rsidR="00FA1A2A" w:rsidRPr="002D60DE" w:rsidRDefault="00FA1A2A" w:rsidP="007B3952">
      <w:pPr>
        <w:spacing w:line="360" w:lineRule="auto"/>
        <w:jc w:val="both"/>
        <w:rPr>
          <w:rFonts w:eastAsiaTheme="minorHAnsi"/>
          <w:lang w:eastAsia="en-US"/>
        </w:rPr>
      </w:pPr>
    </w:p>
    <w:p w14:paraId="6854EE57" w14:textId="19CA8258" w:rsidR="002D60DE" w:rsidRPr="002D60DE" w:rsidRDefault="002D60DE" w:rsidP="007B3952">
      <w:pPr>
        <w:spacing w:line="360" w:lineRule="auto"/>
        <w:ind w:firstLine="709"/>
        <w:rPr>
          <w:rFonts w:eastAsiaTheme="minorHAnsi"/>
          <w:lang w:eastAsia="en-US"/>
        </w:rPr>
      </w:pPr>
      <w:r w:rsidRPr="002D60DE">
        <w:rPr>
          <w:rFonts w:eastAsiaTheme="minorHAnsi"/>
          <w:lang w:eastAsia="en-US"/>
        </w:rPr>
        <w:lastRenderedPageBreak/>
        <w:t>En la modalidad No Presencial existen las siguientes variantes:</w:t>
      </w:r>
    </w:p>
    <w:p w14:paraId="1D487E50" w14:textId="77777777" w:rsidR="002D60DE" w:rsidRPr="002D60DE" w:rsidRDefault="002D60DE" w:rsidP="007B3952">
      <w:pPr>
        <w:numPr>
          <w:ilvl w:val="1"/>
          <w:numId w:val="15"/>
        </w:numPr>
        <w:spacing w:after="160" w:line="360" w:lineRule="auto"/>
        <w:ind w:left="1434" w:hanging="357"/>
        <w:jc w:val="both"/>
        <w:rPr>
          <w:rFonts w:eastAsiaTheme="minorHAnsi"/>
          <w:lang w:eastAsia="en-US"/>
        </w:rPr>
      </w:pPr>
      <w:r w:rsidRPr="002D60DE">
        <w:rPr>
          <w:rFonts w:eastAsiaTheme="minorHAnsi"/>
          <w:b/>
          <w:bCs/>
          <w:i/>
          <w:iCs/>
          <w:lang w:eastAsia="en-US"/>
        </w:rPr>
        <w:t>Abierta,</w:t>
      </w:r>
      <w:r w:rsidRPr="002D60DE">
        <w:rPr>
          <w:rFonts w:eastAsiaTheme="minorHAnsi"/>
          <w:lang w:eastAsia="en-US"/>
        </w:rPr>
        <w:t xml:space="preserve"> en esta modalidad no se cuenta con un calendario específico, no hay horarios ni compañeros, el estudiante realiza los estudios a su propio ritmo, hay un asesor que resuelve dudas.</w:t>
      </w:r>
    </w:p>
    <w:p w14:paraId="01227C76" w14:textId="77777777" w:rsidR="002D60DE" w:rsidRPr="002D60DE" w:rsidRDefault="002D60DE" w:rsidP="00FA1A2A">
      <w:pPr>
        <w:numPr>
          <w:ilvl w:val="1"/>
          <w:numId w:val="15"/>
        </w:numPr>
        <w:spacing w:line="360" w:lineRule="auto"/>
        <w:ind w:left="1434" w:hanging="357"/>
        <w:jc w:val="both"/>
        <w:rPr>
          <w:rFonts w:eastAsiaTheme="minorHAnsi"/>
          <w:lang w:eastAsia="en-US"/>
        </w:rPr>
      </w:pPr>
      <w:r w:rsidRPr="002D60DE">
        <w:rPr>
          <w:rFonts w:eastAsiaTheme="minorHAnsi"/>
          <w:b/>
          <w:bCs/>
          <w:i/>
          <w:iCs/>
          <w:lang w:eastAsia="en-US"/>
        </w:rPr>
        <w:t>Distancia</w:t>
      </w:r>
      <w:r w:rsidRPr="002D60DE">
        <w:rPr>
          <w:rFonts w:eastAsiaTheme="minorHAnsi"/>
          <w:lang w:eastAsia="en-US"/>
        </w:rPr>
        <w:t xml:space="preserve"> (e-learning), esta modalidad se sustenta en la mediación de las tecnologías de la información y la comunicación para realizar los estudios. Se requiere de una conexión a Internet. Se garantiza la asesoría adecuada, contacto con compañeros, desarrollo de competencias de vida y para aprender por sí mismo. No se requiere de un horario específico para desarrollar los contenidos programáticos. El docente pasa a tomar un rol de gestor-tutor facilitador-asesor o guía a los alumnos para que sean autogestivos. Los estudiantes y el docente están separados en tiempo y espacio.</w:t>
      </w:r>
    </w:p>
    <w:p w14:paraId="56182E97" w14:textId="2F08D6D6" w:rsidR="002D60DE" w:rsidRDefault="002D60DE" w:rsidP="007B3952">
      <w:pPr>
        <w:spacing w:line="360" w:lineRule="auto"/>
        <w:jc w:val="both"/>
        <w:rPr>
          <w:color w:val="000000"/>
          <w:lang w:eastAsia="es-ES_tradnl"/>
        </w:rPr>
      </w:pPr>
      <w:r w:rsidRPr="002D60DE">
        <w:rPr>
          <w:rFonts w:eastAsiaTheme="minorHAnsi"/>
          <w:b/>
          <w:bCs/>
          <w:lang w:eastAsia="en-US"/>
        </w:rPr>
        <w:t>Mixta.</w:t>
      </w:r>
      <w:r w:rsidRPr="00413F4E">
        <w:rPr>
          <w:rFonts w:ascii="Arial" w:eastAsiaTheme="minorHAnsi" w:hAnsi="Arial" w:cs="Arial"/>
          <w:b/>
          <w:bCs/>
          <w:lang w:eastAsia="en-US"/>
        </w:rPr>
        <w:t xml:space="preserve"> </w:t>
      </w:r>
      <w:r w:rsidRPr="002D60DE">
        <w:rPr>
          <w:color w:val="000000"/>
          <w:lang w:eastAsia="es-ES_tradnl"/>
        </w:rPr>
        <w:t>En esta modalidad se combinan las modalidades presencial y a distancia. No se asiste todos los días a un salón o aula de clase, se realizan asesorías presenciales y se basa en el apoyo de las TIC. Se emplean diversas técnicas y recursos en línea. El estudiante debe planear y manejar sus tiempos. Se desarrolla la capacidad aprendizaje autónomo (CISE, 2016). Se aplica el aula invertida: el alumno toma sus clases en casa y realiza actividades en el aula, recibiendo la guía del docente (Ósmosis, 2017).</w:t>
      </w:r>
    </w:p>
    <w:p w14:paraId="7CCB6272" w14:textId="77777777" w:rsidR="00D75AF6" w:rsidRPr="002D60DE" w:rsidRDefault="00D75AF6" w:rsidP="007B3952">
      <w:pPr>
        <w:spacing w:line="360" w:lineRule="auto"/>
        <w:jc w:val="both"/>
        <w:rPr>
          <w:color w:val="000000"/>
          <w:lang w:eastAsia="es-ES_tradnl"/>
        </w:rPr>
      </w:pPr>
    </w:p>
    <w:p w14:paraId="599E4EB9" w14:textId="32DFBE0B" w:rsidR="00397F9F" w:rsidRDefault="00397F9F" w:rsidP="007B3952">
      <w:pPr>
        <w:spacing w:line="360" w:lineRule="auto"/>
        <w:jc w:val="center"/>
        <w:rPr>
          <w:b/>
          <w:color w:val="000000"/>
          <w:sz w:val="32"/>
          <w:szCs w:val="32"/>
        </w:rPr>
      </w:pPr>
      <w:r w:rsidRPr="007B3952">
        <w:rPr>
          <w:b/>
          <w:color w:val="000000"/>
          <w:sz w:val="28"/>
          <w:szCs w:val="28"/>
        </w:rPr>
        <w:t>Procedimiento de recolección de datos</w:t>
      </w:r>
      <w:r w:rsidRPr="00822C6B">
        <w:rPr>
          <w:b/>
          <w:color w:val="000000"/>
          <w:sz w:val="32"/>
          <w:szCs w:val="32"/>
        </w:rPr>
        <w:t xml:space="preserve"> </w:t>
      </w:r>
    </w:p>
    <w:p w14:paraId="39E5E14A" w14:textId="04E29CE3" w:rsidR="00BA3647" w:rsidRPr="00BA3647" w:rsidRDefault="00BA3647" w:rsidP="007B3952">
      <w:pPr>
        <w:spacing w:line="360" w:lineRule="auto"/>
        <w:ind w:firstLine="709"/>
        <w:jc w:val="both"/>
        <w:rPr>
          <w:color w:val="000000"/>
          <w:lang w:eastAsia="es-ES_tradnl"/>
        </w:rPr>
      </w:pPr>
      <w:r w:rsidRPr="00BA3647">
        <w:rPr>
          <w:color w:val="000000"/>
          <w:lang w:eastAsia="es-ES_tradnl"/>
        </w:rPr>
        <w:t xml:space="preserve">El enfoque elegido para esta investigación fue el enfoque mixto, </w:t>
      </w:r>
      <w:r w:rsidR="00B830B0">
        <w:rPr>
          <w:color w:val="000000"/>
          <w:lang w:eastAsia="es-ES_tradnl"/>
        </w:rPr>
        <w:t xml:space="preserve">en donde </w:t>
      </w:r>
      <w:r w:rsidRPr="00BA3647">
        <w:rPr>
          <w:color w:val="000000"/>
          <w:lang w:eastAsia="es-ES_tradnl"/>
        </w:rPr>
        <w:t>es posible producir datos más variados mediante la multiplicidad de observaciones, ya que se consideran diversas fuentes y tipos de datos, contextos o ambientes y análisis. Se logra una perspectiva más amplia y profunda del fenómeno estudiado.</w:t>
      </w:r>
      <w:r w:rsidR="00B830B0">
        <w:rPr>
          <w:color w:val="000000"/>
          <w:lang w:eastAsia="es-ES_tradnl"/>
        </w:rPr>
        <w:t xml:space="preserve"> (</w:t>
      </w:r>
      <w:r w:rsidR="00B830B0" w:rsidRPr="00BA3647">
        <w:rPr>
          <w:color w:val="000000"/>
          <w:lang w:eastAsia="es-ES_tradnl"/>
        </w:rPr>
        <w:t>Hernández, Fernández y Baptista</w:t>
      </w:r>
      <w:r w:rsidR="00B830B0">
        <w:rPr>
          <w:color w:val="000000"/>
          <w:lang w:eastAsia="es-ES_tradnl"/>
        </w:rPr>
        <w:t xml:space="preserve">, </w:t>
      </w:r>
      <w:r w:rsidR="00B830B0" w:rsidRPr="00BA3647">
        <w:rPr>
          <w:color w:val="000000"/>
          <w:lang w:eastAsia="es-ES_tradnl"/>
        </w:rPr>
        <w:t>2014)</w:t>
      </w:r>
      <w:r w:rsidR="00B830B0">
        <w:rPr>
          <w:color w:val="000000"/>
          <w:lang w:eastAsia="es-ES_tradnl"/>
        </w:rPr>
        <w:t>.</w:t>
      </w:r>
    </w:p>
    <w:p w14:paraId="430098F8" w14:textId="77777777" w:rsidR="00BA3647" w:rsidRPr="00BA3647" w:rsidRDefault="00BA3647" w:rsidP="007B3952">
      <w:pPr>
        <w:spacing w:line="360" w:lineRule="auto"/>
        <w:ind w:firstLine="709"/>
        <w:jc w:val="both"/>
        <w:rPr>
          <w:color w:val="000000"/>
          <w:lang w:eastAsia="es-ES_tradnl"/>
        </w:rPr>
      </w:pPr>
      <w:r w:rsidRPr="00BA3647">
        <w:rPr>
          <w:color w:val="000000"/>
          <w:lang w:eastAsia="es-ES_tradnl"/>
        </w:rPr>
        <w:t>Se desarrolló una investigación aplicada cuyo propósito es hacer uso inmediato del conocimiento existente, en beneficio de los grupos participantes en el trabajo y de la Universidad en general. La divulgación de conocimientos basados en la evidencia de realidades dadas incentiva la función investigativa (Vargas, 2009).</w:t>
      </w:r>
    </w:p>
    <w:p w14:paraId="08F927B5" w14:textId="77777777" w:rsidR="00BA3647" w:rsidRPr="00BA3647" w:rsidRDefault="00BA3647" w:rsidP="007B3952">
      <w:pPr>
        <w:spacing w:line="360" w:lineRule="auto"/>
        <w:ind w:firstLine="709"/>
        <w:jc w:val="both"/>
        <w:rPr>
          <w:color w:val="000000"/>
          <w:lang w:eastAsia="es-ES_tradnl"/>
        </w:rPr>
      </w:pPr>
      <w:r w:rsidRPr="00BA3647">
        <w:rPr>
          <w:color w:val="000000"/>
          <w:lang w:eastAsia="es-ES_tradnl"/>
        </w:rPr>
        <w:t xml:space="preserve">El alcance de la investigación es descriptivo, ya que mide o recoge información (propiedades, características y perfiles) de manera independiente o conjunta sobre los conceptos o las variables del fenómeno que se somete al análisis. Los estudios descriptivos </w:t>
      </w:r>
      <w:r w:rsidRPr="00BA3647">
        <w:rPr>
          <w:color w:val="000000"/>
          <w:lang w:eastAsia="es-ES_tradnl"/>
        </w:rPr>
        <w:lastRenderedPageBreak/>
        <w:t>son útiles para mostrar con precisión los ángulos o dimensiones de un fenómeno, suceso, comunidad, contexto o situación. (Hernández, Fernández y Baptista, 2014).</w:t>
      </w:r>
    </w:p>
    <w:p w14:paraId="1369D3B9" w14:textId="7CBC7E9B" w:rsidR="00B830B0" w:rsidRDefault="00BA3647" w:rsidP="007B3952">
      <w:pPr>
        <w:spacing w:line="360" w:lineRule="auto"/>
        <w:ind w:firstLine="709"/>
        <w:jc w:val="both"/>
        <w:rPr>
          <w:color w:val="000000"/>
          <w:lang w:eastAsia="es-ES_tradnl"/>
        </w:rPr>
      </w:pPr>
      <w:r w:rsidRPr="00BA3647">
        <w:rPr>
          <w:color w:val="000000"/>
          <w:lang w:eastAsia="es-ES_tradnl"/>
        </w:rPr>
        <w:t>El diseño de la investigación es no experimental ya que “no se genera ninguna situación, sino que se observan situaciones ya existentes, no provocadas intencionalmente en la investigación por quien la realiza. En la investigación no experimental las variables independientes ocurren y no es posible manipularlas, no se tiene control directo sobre dichas variables ni se puede influir en ellas, porque ya sucedieron, al igual que sus efectos.” (Hernández, Fernández y Baptista, 2014).</w:t>
      </w:r>
    </w:p>
    <w:p w14:paraId="76D1600B" w14:textId="4B46FD8B" w:rsidR="00BA3647" w:rsidRDefault="00BA3647" w:rsidP="007B3952">
      <w:pPr>
        <w:spacing w:line="360" w:lineRule="auto"/>
        <w:ind w:firstLine="709"/>
        <w:jc w:val="both"/>
        <w:rPr>
          <w:color w:val="000000"/>
          <w:lang w:eastAsia="es-ES_tradnl"/>
        </w:rPr>
      </w:pPr>
      <w:r w:rsidRPr="00BA3647">
        <w:rPr>
          <w:color w:val="000000"/>
          <w:lang w:eastAsia="es-ES_tradnl"/>
        </w:rPr>
        <w:t>Esta investigación es de tipo transversal ya que la recolección de datos se h</w:t>
      </w:r>
      <w:r w:rsidR="00B830B0">
        <w:rPr>
          <w:color w:val="000000"/>
          <w:lang w:eastAsia="es-ES_tradnl"/>
        </w:rPr>
        <w:t>izó</w:t>
      </w:r>
      <w:r w:rsidRPr="00BA3647">
        <w:rPr>
          <w:color w:val="000000"/>
          <w:lang w:eastAsia="es-ES_tradnl"/>
        </w:rPr>
        <w:t xml:space="preserve"> en un solo momento, estos datos permitirán la descripción de las variables para posteriormente analizar su incidencia e interrelación en un momento dado. En un diseño transversal descriptivo se ubica en una o diversas variables a un grupo de personas u otros seres vivos, objetos, situaciones, contextos, fenómenos, comunidades, etc., y se proporciona su descripción. (Hernández, Fernández y Baptista, 2014)</w:t>
      </w:r>
      <w:r w:rsidR="00B830B0">
        <w:rPr>
          <w:color w:val="000000"/>
          <w:lang w:eastAsia="es-ES_tradnl"/>
        </w:rPr>
        <w:t>.</w:t>
      </w:r>
    </w:p>
    <w:p w14:paraId="710F0BC4" w14:textId="18572523" w:rsidR="00B830B0" w:rsidRPr="00E33740" w:rsidRDefault="00B830B0" w:rsidP="007B3952">
      <w:pPr>
        <w:spacing w:line="360" w:lineRule="auto"/>
        <w:ind w:firstLine="709"/>
        <w:jc w:val="both"/>
        <w:rPr>
          <w:rFonts w:ascii="Arial" w:eastAsiaTheme="minorHAnsi" w:hAnsi="Arial" w:cs="Arial"/>
          <w:lang w:eastAsia="en-US"/>
        </w:rPr>
      </w:pPr>
      <w:r>
        <w:rPr>
          <w:color w:val="000000"/>
          <w:lang w:eastAsia="es-ES_tradnl"/>
        </w:rPr>
        <w:t>L</w:t>
      </w:r>
      <w:r w:rsidRPr="00B830B0">
        <w:rPr>
          <w:color w:val="000000"/>
          <w:lang w:eastAsia="es-ES_tradnl"/>
        </w:rPr>
        <w:t>a población de la investigación comprende a los profesores de la Universidad que cuentan con el perfil para impartir clases de estudios de posgrado que cumplen con los indicadores nacionales de calidad.</w:t>
      </w:r>
      <w:r>
        <w:rPr>
          <w:color w:val="000000"/>
          <w:lang w:eastAsia="es-ES_tradnl"/>
        </w:rPr>
        <w:t xml:space="preserve"> L</w:t>
      </w:r>
      <w:r w:rsidRPr="00B830B0">
        <w:rPr>
          <w:color w:val="000000"/>
          <w:lang w:eastAsia="es-ES_tradnl"/>
        </w:rPr>
        <w:t xml:space="preserve">as muestras están formadas por los casos disponibles a los cuales se tiene acceso (Battaglia </w:t>
      </w:r>
      <w:r>
        <w:rPr>
          <w:color w:val="000000"/>
          <w:lang w:eastAsia="es-ES_tradnl"/>
        </w:rPr>
        <w:t>[</w:t>
      </w:r>
      <w:r w:rsidRPr="00B830B0">
        <w:rPr>
          <w:color w:val="000000"/>
          <w:lang w:eastAsia="es-ES_tradnl"/>
        </w:rPr>
        <w:t>2008a</w:t>
      </w:r>
      <w:r>
        <w:rPr>
          <w:color w:val="000000"/>
          <w:lang w:eastAsia="es-ES_tradnl"/>
        </w:rPr>
        <w:t>]</w:t>
      </w:r>
      <w:r w:rsidRPr="00B830B0">
        <w:rPr>
          <w:color w:val="000000"/>
          <w:lang w:eastAsia="es-ES_tradnl"/>
        </w:rPr>
        <w:t xml:space="preserve"> mencionado en Hernández, Fernández y Baptista (2014)). La elección se basó en la disponibilidad de las personas que participaron en el estudio y la facilidad para acceder a ellas</w:t>
      </w:r>
      <w:r>
        <w:rPr>
          <w:color w:val="000000"/>
          <w:lang w:eastAsia="es-ES_tradnl"/>
        </w:rPr>
        <w:t xml:space="preserve"> derivado de la pandemia.</w:t>
      </w:r>
    </w:p>
    <w:p w14:paraId="6C3C399C" w14:textId="77777777" w:rsidR="00B830B0" w:rsidRPr="00B830B0" w:rsidRDefault="00B830B0" w:rsidP="007B3952">
      <w:pPr>
        <w:spacing w:line="360" w:lineRule="auto"/>
        <w:ind w:firstLine="709"/>
        <w:jc w:val="both"/>
        <w:rPr>
          <w:color w:val="000000"/>
          <w:lang w:eastAsia="es-ES_tradnl"/>
        </w:rPr>
      </w:pPr>
      <w:r w:rsidRPr="00B830B0">
        <w:rPr>
          <w:color w:val="000000"/>
          <w:lang w:eastAsia="es-ES_tradnl"/>
        </w:rPr>
        <w:t>Para la obtención de datos se emplearon las técnicas de revisión de fuentes bibliográficas y la encuesta en su modalidad de cuestionario. Este último permitió medir el conocimiento de los docentes acerca de los indicadores nacionales de calidad en los posgrados y de las TIC (tecnologías) empleadas en programas educativos en modalidad no escolarizada.</w:t>
      </w:r>
    </w:p>
    <w:p w14:paraId="5D7B0504" w14:textId="77777777" w:rsidR="00B830B0" w:rsidRPr="00B830B0" w:rsidRDefault="00B830B0" w:rsidP="007B3952">
      <w:pPr>
        <w:spacing w:line="360" w:lineRule="auto"/>
        <w:ind w:firstLine="709"/>
        <w:jc w:val="both"/>
        <w:rPr>
          <w:color w:val="000000"/>
          <w:lang w:eastAsia="es-ES_tradnl"/>
        </w:rPr>
      </w:pPr>
      <w:r w:rsidRPr="00B830B0">
        <w:rPr>
          <w:color w:val="000000"/>
          <w:lang w:eastAsia="es-ES_tradnl"/>
        </w:rPr>
        <w:t>Se incluyeron en el cuestionario escalas de actitudes u opinión, considerando lo mencionado por Hernández, Fernández y Baptista (2014): “las actitudes tienen diversas propiedades, entre las que destacan: dirección (positiva o negativa) e intensidad (alta o baja); estas propiedades forman parte de la medición.”</w:t>
      </w:r>
    </w:p>
    <w:p w14:paraId="537C414B" w14:textId="77777777" w:rsidR="00B830B0" w:rsidRPr="00B830B0" w:rsidRDefault="00B830B0" w:rsidP="007B3952">
      <w:pPr>
        <w:spacing w:line="360" w:lineRule="auto"/>
        <w:ind w:firstLine="709"/>
        <w:jc w:val="both"/>
        <w:rPr>
          <w:color w:val="000000"/>
          <w:lang w:eastAsia="es-ES_tradnl"/>
        </w:rPr>
      </w:pPr>
      <w:r w:rsidRPr="00B830B0">
        <w:rPr>
          <w:color w:val="000000"/>
          <w:lang w:eastAsia="es-ES_tradnl"/>
        </w:rPr>
        <w:t>El cuestionario se estructuró con preguntas cerradas y se generó en un formato electrónico. Fue enviado electrónicamente a docentes de la UAEM que imparten clases en programas educativos de posgrado. El cuestionario propuesto para la recolección de datos cuenta con las características de confiabilidad y validez.</w:t>
      </w:r>
    </w:p>
    <w:p w14:paraId="60E1C817" w14:textId="77777777" w:rsidR="00B830B0" w:rsidRPr="00B830B0" w:rsidRDefault="00B830B0" w:rsidP="007B3952">
      <w:pPr>
        <w:spacing w:line="360" w:lineRule="auto"/>
        <w:ind w:firstLine="709"/>
        <w:jc w:val="both"/>
        <w:rPr>
          <w:color w:val="000000"/>
          <w:lang w:eastAsia="es-ES_tradnl"/>
        </w:rPr>
      </w:pPr>
      <w:r w:rsidRPr="00B830B0">
        <w:rPr>
          <w:color w:val="000000"/>
          <w:lang w:eastAsia="es-ES_tradnl"/>
        </w:rPr>
        <w:lastRenderedPageBreak/>
        <w:t>En la elaboración del cuestionario de esta investigación se consideró el instrumento empleado en el estudio de Romero (2011) para medir los grados de experiencia, competencia y la percepción de los docentes al uso de las TIC y su desempeño docente en la educación a distancia.</w:t>
      </w:r>
    </w:p>
    <w:p w14:paraId="50C5FF22" w14:textId="77777777" w:rsidR="00B830B0" w:rsidRPr="00B830B0" w:rsidRDefault="00B830B0" w:rsidP="007B3952">
      <w:pPr>
        <w:spacing w:line="360" w:lineRule="auto"/>
        <w:ind w:firstLine="709"/>
        <w:rPr>
          <w:color w:val="000000"/>
          <w:lang w:eastAsia="es-ES_tradnl"/>
        </w:rPr>
      </w:pPr>
      <w:r w:rsidRPr="00B830B0">
        <w:rPr>
          <w:color w:val="000000"/>
          <w:lang w:eastAsia="es-ES_tradnl"/>
        </w:rPr>
        <w:t xml:space="preserve">Se formularon reactivos que permitieron obtener información acerca de: </w:t>
      </w:r>
    </w:p>
    <w:p w14:paraId="57562C24" w14:textId="77777777" w:rsidR="00C30FCB" w:rsidRPr="00C30FCB" w:rsidRDefault="00B830B0" w:rsidP="007B3952">
      <w:pPr>
        <w:pStyle w:val="Prrafodelista"/>
        <w:numPr>
          <w:ilvl w:val="0"/>
          <w:numId w:val="13"/>
        </w:numPr>
        <w:spacing w:line="360" w:lineRule="auto"/>
        <w:jc w:val="both"/>
        <w:rPr>
          <w:rFonts w:ascii="Times New Roman" w:eastAsia="Times New Roman" w:hAnsi="Times New Roman" w:cs="Times New Roman"/>
          <w:color w:val="000000"/>
          <w:sz w:val="24"/>
          <w:szCs w:val="24"/>
          <w:lang w:eastAsia="es-ES_tradnl"/>
        </w:rPr>
      </w:pPr>
      <w:r w:rsidRPr="00C30FCB">
        <w:rPr>
          <w:rFonts w:ascii="Times New Roman" w:eastAsia="Times New Roman" w:hAnsi="Times New Roman" w:cs="Times New Roman"/>
          <w:color w:val="000000"/>
          <w:sz w:val="24"/>
          <w:szCs w:val="24"/>
          <w:lang w:eastAsia="es-ES_tradnl"/>
        </w:rPr>
        <w:t>El conocimiento de los docentes sobre los criterios establecidos por el PNPC en la acreditación de los programas educativos de posgrados, y</w:t>
      </w:r>
    </w:p>
    <w:p w14:paraId="7600962A" w14:textId="2A1AE734" w:rsidR="00B830B0" w:rsidRPr="00C30FCB" w:rsidRDefault="00C30FCB" w:rsidP="007B3952">
      <w:pPr>
        <w:pStyle w:val="Prrafodelista"/>
        <w:numPr>
          <w:ilvl w:val="0"/>
          <w:numId w:val="13"/>
        </w:numPr>
        <w:spacing w:line="360" w:lineRule="auto"/>
        <w:jc w:val="both"/>
        <w:rPr>
          <w:rFonts w:ascii="Times New Roman" w:eastAsia="Times New Roman" w:hAnsi="Times New Roman" w:cs="Times New Roman"/>
          <w:color w:val="000000"/>
          <w:sz w:val="24"/>
          <w:szCs w:val="24"/>
          <w:lang w:eastAsia="es-ES_tradnl"/>
        </w:rPr>
      </w:pPr>
      <w:r w:rsidRPr="00C30FCB">
        <w:rPr>
          <w:rFonts w:ascii="Times New Roman" w:eastAsia="Times New Roman" w:hAnsi="Times New Roman" w:cs="Times New Roman"/>
          <w:color w:val="000000"/>
          <w:sz w:val="24"/>
          <w:szCs w:val="24"/>
          <w:lang w:eastAsia="es-ES_tradnl"/>
        </w:rPr>
        <w:t>L</w:t>
      </w:r>
      <w:r w:rsidR="00B830B0" w:rsidRPr="00C30FCB">
        <w:rPr>
          <w:rFonts w:ascii="Times New Roman" w:eastAsia="Times New Roman" w:hAnsi="Times New Roman" w:cs="Times New Roman"/>
          <w:color w:val="000000"/>
          <w:sz w:val="24"/>
          <w:szCs w:val="24"/>
          <w:lang w:eastAsia="es-ES_tradnl"/>
        </w:rPr>
        <w:t>a experiencia de los docentes en el uso de tecnologías educativas en los cursos diseñados o impartidos en modalidades no escolarizadas.</w:t>
      </w:r>
    </w:p>
    <w:p w14:paraId="6E9ABF4C" w14:textId="4B567BB9" w:rsidR="00B830B0" w:rsidRDefault="00B830B0" w:rsidP="007B3952">
      <w:pPr>
        <w:spacing w:line="360" w:lineRule="auto"/>
        <w:ind w:firstLine="709"/>
        <w:rPr>
          <w:color w:val="000000"/>
          <w:lang w:eastAsia="es-ES_tradnl"/>
        </w:rPr>
      </w:pPr>
      <w:r w:rsidRPr="00B830B0">
        <w:rPr>
          <w:color w:val="000000"/>
          <w:lang w:eastAsia="es-ES_tradnl"/>
        </w:rPr>
        <w:t>Los datos fueron clasificados y evaluados, se construyeron gráficas y cuadros que permitieron elaborar un diagnóstico.</w:t>
      </w:r>
    </w:p>
    <w:p w14:paraId="4FD5348F" w14:textId="77777777" w:rsidR="0081030D" w:rsidRDefault="0081030D" w:rsidP="007B3952">
      <w:pPr>
        <w:spacing w:line="360" w:lineRule="auto"/>
        <w:ind w:firstLine="709"/>
        <w:rPr>
          <w:color w:val="000000"/>
          <w:lang w:eastAsia="es-ES_tradnl"/>
        </w:rPr>
      </w:pPr>
    </w:p>
    <w:p w14:paraId="0E3815FD" w14:textId="7B2BC39A" w:rsidR="00397F9F" w:rsidRPr="00856785" w:rsidRDefault="00397F9F" w:rsidP="007B3952">
      <w:pPr>
        <w:autoSpaceDE w:val="0"/>
        <w:autoSpaceDN w:val="0"/>
        <w:adjustRightInd w:val="0"/>
        <w:spacing w:line="360" w:lineRule="auto"/>
        <w:jc w:val="center"/>
        <w:rPr>
          <w:b/>
          <w:color w:val="000000"/>
          <w:sz w:val="32"/>
          <w:szCs w:val="32"/>
        </w:rPr>
      </w:pPr>
      <w:r w:rsidRPr="00856785">
        <w:rPr>
          <w:b/>
          <w:color w:val="000000"/>
          <w:sz w:val="32"/>
          <w:szCs w:val="32"/>
        </w:rPr>
        <w:t>Análisis y resultados</w:t>
      </w:r>
      <w:r>
        <w:rPr>
          <w:b/>
          <w:color w:val="000000"/>
          <w:sz w:val="32"/>
          <w:szCs w:val="32"/>
        </w:rPr>
        <w:t xml:space="preserve"> </w:t>
      </w:r>
    </w:p>
    <w:p w14:paraId="4A8A51E6" w14:textId="1B7454A4" w:rsidR="007B3952" w:rsidRDefault="00C30FCB" w:rsidP="002A06AE">
      <w:pPr>
        <w:spacing w:line="360" w:lineRule="auto"/>
        <w:ind w:firstLine="709"/>
        <w:jc w:val="both"/>
        <w:rPr>
          <w:color w:val="000000"/>
          <w:lang w:eastAsia="es-ES_tradnl"/>
        </w:rPr>
      </w:pPr>
      <w:r>
        <w:rPr>
          <w:color w:val="000000"/>
          <w:lang w:eastAsia="es-ES_tradnl"/>
        </w:rPr>
        <w:t>P</w:t>
      </w:r>
      <w:r w:rsidRPr="00C30FCB">
        <w:rPr>
          <w:color w:val="000000"/>
          <w:lang w:eastAsia="es-ES_tradnl"/>
        </w:rPr>
        <w:t>ara</w:t>
      </w:r>
      <w:r>
        <w:rPr>
          <w:color w:val="000000"/>
          <w:lang w:eastAsia="es-ES_tradnl"/>
        </w:rPr>
        <w:t xml:space="preserve"> la realización del estudio se </w:t>
      </w:r>
      <w:r w:rsidRPr="00C30FCB">
        <w:rPr>
          <w:color w:val="000000"/>
          <w:lang w:eastAsia="es-ES_tradnl"/>
        </w:rPr>
        <w:t>prop</w:t>
      </w:r>
      <w:r>
        <w:rPr>
          <w:color w:val="000000"/>
          <w:lang w:eastAsia="es-ES_tradnl"/>
        </w:rPr>
        <w:t xml:space="preserve">usieron </w:t>
      </w:r>
      <w:r w:rsidRPr="00C30FCB">
        <w:rPr>
          <w:color w:val="000000"/>
          <w:lang w:eastAsia="es-ES_tradnl"/>
        </w:rPr>
        <w:t>las siguientes dimensiones e indicadores</w:t>
      </w:r>
      <w:r w:rsidR="0098214C">
        <w:rPr>
          <w:color w:val="000000"/>
          <w:lang w:eastAsia="es-ES_tradnl"/>
        </w:rPr>
        <w:t xml:space="preserve">, </w:t>
      </w:r>
      <w:r w:rsidR="003D7578">
        <w:rPr>
          <w:color w:val="000000"/>
          <w:lang w:eastAsia="es-ES_tradnl"/>
        </w:rPr>
        <w:t>Tabla</w:t>
      </w:r>
      <w:r w:rsidR="0098214C">
        <w:rPr>
          <w:color w:val="000000"/>
          <w:lang w:eastAsia="es-ES_tradnl"/>
        </w:rPr>
        <w:t xml:space="preserve"> 3</w:t>
      </w:r>
      <w:r w:rsidRPr="00C30FCB">
        <w:rPr>
          <w:color w:val="000000"/>
          <w:lang w:eastAsia="es-ES_tradnl"/>
        </w:rPr>
        <w:t>:</w:t>
      </w:r>
    </w:p>
    <w:p w14:paraId="58DFD578" w14:textId="77777777" w:rsidR="00FA1A2A" w:rsidRDefault="00FA1A2A" w:rsidP="002A06AE">
      <w:pPr>
        <w:spacing w:line="360" w:lineRule="auto"/>
        <w:ind w:firstLine="709"/>
        <w:jc w:val="both"/>
        <w:rPr>
          <w:color w:val="000000"/>
          <w:lang w:eastAsia="es-ES_tradnl"/>
        </w:rPr>
      </w:pPr>
    </w:p>
    <w:p w14:paraId="13C49243" w14:textId="29BAB998" w:rsidR="00F1181C" w:rsidRPr="00441AF2" w:rsidRDefault="003D7578" w:rsidP="00441AF2">
      <w:pPr>
        <w:autoSpaceDE w:val="0"/>
        <w:autoSpaceDN w:val="0"/>
        <w:adjustRightInd w:val="0"/>
        <w:spacing w:line="360" w:lineRule="auto"/>
        <w:jc w:val="center"/>
        <w:rPr>
          <w:b/>
          <w:bCs/>
        </w:rPr>
      </w:pPr>
      <w:r>
        <w:rPr>
          <w:b/>
          <w:bCs/>
        </w:rPr>
        <w:t>Tabla</w:t>
      </w:r>
      <w:r w:rsidR="00C30FCB" w:rsidRPr="00441AF2">
        <w:rPr>
          <w:b/>
          <w:bCs/>
        </w:rPr>
        <w:t xml:space="preserve"> 3. </w:t>
      </w:r>
      <w:r w:rsidR="00C30FCB" w:rsidRPr="00441AF2">
        <w:t>Dimensiones e indicadores</w:t>
      </w:r>
    </w:p>
    <w:tbl>
      <w:tblPr>
        <w:tblStyle w:val="Tablanormal4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4959"/>
      </w:tblGrid>
      <w:tr w:rsidR="00441AF2" w:rsidRPr="00FA1A2A" w14:paraId="205BE7DC" w14:textId="77777777" w:rsidTr="00FA1A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tcBorders>
              <w:bottom w:val="single" w:sz="4" w:space="0" w:color="auto"/>
            </w:tcBorders>
            <w:shd w:val="clear" w:color="auto" w:fill="auto"/>
          </w:tcPr>
          <w:p w14:paraId="0A6458DB" w14:textId="23742828" w:rsidR="00441AF2" w:rsidRPr="00FA1A2A" w:rsidRDefault="00441AF2" w:rsidP="00441AF2">
            <w:pPr>
              <w:jc w:val="center"/>
              <w:rPr>
                <w:b w:val="0"/>
                <w:bCs w:val="0"/>
                <w:color w:val="auto"/>
                <w:u w:val="none"/>
                <w:lang w:eastAsia="en-US"/>
              </w:rPr>
            </w:pPr>
            <w:r w:rsidRPr="00FA1A2A">
              <w:rPr>
                <w:b w:val="0"/>
                <w:bCs w:val="0"/>
                <w:color w:val="auto"/>
                <w:u w:val="none"/>
                <w:lang w:eastAsia="en-US"/>
              </w:rPr>
              <w:t>DIMENSIÓN</w:t>
            </w:r>
          </w:p>
        </w:tc>
        <w:tc>
          <w:tcPr>
            <w:tcW w:w="4959" w:type="dxa"/>
            <w:tcBorders>
              <w:bottom w:val="single" w:sz="4" w:space="0" w:color="auto"/>
            </w:tcBorders>
            <w:shd w:val="clear" w:color="auto" w:fill="auto"/>
          </w:tcPr>
          <w:p w14:paraId="46B1717F" w14:textId="282A22F3" w:rsidR="00441AF2" w:rsidRPr="00FA1A2A" w:rsidRDefault="00441AF2" w:rsidP="00441AF2">
            <w:pPr>
              <w:jc w:val="center"/>
              <w:cnfStyle w:val="100000000000" w:firstRow="1" w:lastRow="0" w:firstColumn="0" w:lastColumn="0" w:oddVBand="0" w:evenVBand="0" w:oddHBand="0" w:evenHBand="0" w:firstRowFirstColumn="0" w:firstRowLastColumn="0" w:lastRowFirstColumn="0" w:lastRowLastColumn="0"/>
              <w:rPr>
                <w:b w:val="0"/>
                <w:bCs w:val="0"/>
                <w:color w:val="auto"/>
                <w:u w:val="none"/>
                <w:lang w:eastAsia="en-US"/>
              </w:rPr>
            </w:pPr>
            <w:r w:rsidRPr="00FA1A2A">
              <w:rPr>
                <w:b w:val="0"/>
                <w:bCs w:val="0"/>
                <w:color w:val="auto"/>
                <w:u w:val="none"/>
                <w:lang w:eastAsia="en-US"/>
              </w:rPr>
              <w:t>INDICADORES</w:t>
            </w:r>
          </w:p>
        </w:tc>
      </w:tr>
      <w:tr w:rsidR="00441AF2" w:rsidRPr="00FA1A2A" w14:paraId="20107051" w14:textId="77777777" w:rsidTr="00FA1A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00DAAAC8" w14:textId="77777777" w:rsidR="00441AF2" w:rsidRPr="00FA1A2A" w:rsidRDefault="00441AF2" w:rsidP="00441AF2">
            <w:pPr>
              <w:rPr>
                <w:b w:val="0"/>
                <w:bCs w:val="0"/>
                <w:i/>
                <w:iCs/>
                <w:color w:val="auto"/>
                <w:u w:val="none"/>
                <w:lang w:eastAsia="en-US"/>
              </w:rPr>
            </w:pPr>
            <w:r w:rsidRPr="00FA1A2A">
              <w:rPr>
                <w:b w:val="0"/>
                <w:bCs w:val="0"/>
                <w:i/>
                <w:iCs/>
                <w:color w:val="auto"/>
                <w:u w:val="none"/>
                <w:lang w:eastAsia="en-US"/>
              </w:rPr>
              <w:t>Dimensión 1:</w:t>
            </w:r>
          </w:p>
          <w:p w14:paraId="09E87F84" w14:textId="77777777" w:rsidR="00441AF2" w:rsidRPr="00FA1A2A" w:rsidRDefault="00441AF2" w:rsidP="00441AF2">
            <w:pPr>
              <w:rPr>
                <w:b w:val="0"/>
                <w:bCs w:val="0"/>
                <w:i/>
                <w:iCs/>
                <w:color w:val="auto"/>
                <w:u w:val="none"/>
                <w:lang w:eastAsia="en-US"/>
              </w:rPr>
            </w:pPr>
          </w:p>
          <w:p w14:paraId="5FD6758C" w14:textId="4057F897" w:rsidR="00441AF2" w:rsidRPr="00FA1A2A" w:rsidRDefault="00441AF2" w:rsidP="00441AF2">
            <w:pPr>
              <w:rPr>
                <w:b w:val="0"/>
                <w:bCs w:val="0"/>
                <w:color w:val="auto"/>
                <w:u w:val="none"/>
                <w:lang w:eastAsia="en-US"/>
              </w:rPr>
            </w:pPr>
            <w:r w:rsidRPr="00FA1A2A">
              <w:rPr>
                <w:b w:val="0"/>
                <w:bCs w:val="0"/>
                <w:i/>
                <w:iCs/>
                <w:color w:val="auto"/>
                <w:u w:val="none"/>
                <w:lang w:eastAsia="en-US"/>
              </w:rPr>
              <w:t>Conocimiento de los indicadores nacionales vigentes, relacionados a las TIC, establecidos para los posgrados de calidad.</w:t>
            </w:r>
          </w:p>
        </w:tc>
        <w:tc>
          <w:tcPr>
            <w:tcW w:w="4959" w:type="dxa"/>
            <w:shd w:val="clear" w:color="auto" w:fill="auto"/>
          </w:tcPr>
          <w:p w14:paraId="41687339" w14:textId="77777777" w:rsidR="00441AF2" w:rsidRPr="00FA1A2A" w:rsidRDefault="00441AF2" w:rsidP="00641C48">
            <w:pPr>
              <w:cnfStyle w:val="000000100000" w:firstRow="0" w:lastRow="0" w:firstColumn="0" w:lastColumn="0" w:oddVBand="0" w:evenVBand="0" w:oddHBand="1" w:evenHBand="0" w:firstRowFirstColumn="0" w:firstRowLastColumn="0" w:lastRowFirstColumn="0" w:lastRowLastColumn="0"/>
              <w:rPr>
                <w:color w:val="auto"/>
                <w:u w:val="none"/>
                <w:lang w:eastAsia="en-US"/>
              </w:rPr>
            </w:pPr>
            <w:r w:rsidRPr="00FA1A2A">
              <w:rPr>
                <w:color w:val="auto"/>
                <w:u w:val="none"/>
                <w:lang w:eastAsia="en-US"/>
              </w:rPr>
              <w:t>Indicador 1:</w:t>
            </w:r>
          </w:p>
          <w:p w14:paraId="61A8C28D" w14:textId="4F7A61EB" w:rsidR="00441AF2" w:rsidRPr="00FA1A2A" w:rsidRDefault="00441AF2" w:rsidP="00641C48">
            <w:pPr>
              <w:jc w:val="both"/>
              <w:cnfStyle w:val="000000100000" w:firstRow="0" w:lastRow="0" w:firstColumn="0" w:lastColumn="0" w:oddVBand="0" w:evenVBand="0" w:oddHBand="1" w:evenHBand="0" w:firstRowFirstColumn="0" w:firstRowLastColumn="0" w:lastRowFirstColumn="0" w:lastRowLastColumn="0"/>
              <w:rPr>
                <w:color w:val="auto"/>
                <w:u w:val="none"/>
                <w:lang w:eastAsia="en-US"/>
              </w:rPr>
            </w:pPr>
            <w:r w:rsidRPr="00FA1A2A">
              <w:rPr>
                <w:color w:val="auto"/>
                <w:u w:val="none"/>
                <w:lang w:eastAsia="en-US"/>
              </w:rPr>
              <w:t>Grado de conocimiento de la normatividad nacional e institucional acerca de la calidad en los programas educativos de posgrado.</w:t>
            </w:r>
          </w:p>
          <w:p w14:paraId="250B5900" w14:textId="77777777" w:rsidR="00641C48" w:rsidRPr="00FA1A2A" w:rsidRDefault="00641C48" w:rsidP="00641C48">
            <w:pPr>
              <w:jc w:val="both"/>
              <w:cnfStyle w:val="000000100000" w:firstRow="0" w:lastRow="0" w:firstColumn="0" w:lastColumn="0" w:oddVBand="0" w:evenVBand="0" w:oddHBand="1" w:evenHBand="0" w:firstRowFirstColumn="0" w:firstRowLastColumn="0" w:lastRowFirstColumn="0" w:lastRowLastColumn="0"/>
              <w:rPr>
                <w:color w:val="auto"/>
                <w:u w:val="none"/>
                <w:lang w:eastAsia="en-US"/>
              </w:rPr>
            </w:pPr>
          </w:p>
          <w:p w14:paraId="223C7943" w14:textId="77777777" w:rsidR="00441AF2" w:rsidRPr="00FA1A2A" w:rsidRDefault="00441AF2" w:rsidP="00441AF2">
            <w:pPr>
              <w:jc w:val="both"/>
              <w:cnfStyle w:val="000000100000" w:firstRow="0" w:lastRow="0" w:firstColumn="0" w:lastColumn="0" w:oddVBand="0" w:evenVBand="0" w:oddHBand="1" w:evenHBand="0" w:firstRowFirstColumn="0" w:firstRowLastColumn="0" w:lastRowFirstColumn="0" w:lastRowLastColumn="0"/>
              <w:rPr>
                <w:color w:val="auto"/>
                <w:u w:val="none"/>
                <w:lang w:eastAsia="en-US"/>
              </w:rPr>
            </w:pPr>
            <w:r w:rsidRPr="00FA1A2A">
              <w:rPr>
                <w:color w:val="auto"/>
                <w:u w:val="none"/>
                <w:lang w:eastAsia="en-US"/>
              </w:rPr>
              <w:t>Indicador 2:</w:t>
            </w:r>
          </w:p>
          <w:p w14:paraId="0504B13F" w14:textId="77777777" w:rsidR="00441AF2" w:rsidRPr="00FA1A2A" w:rsidRDefault="00441AF2" w:rsidP="00441AF2">
            <w:pPr>
              <w:jc w:val="both"/>
              <w:cnfStyle w:val="000000100000" w:firstRow="0" w:lastRow="0" w:firstColumn="0" w:lastColumn="0" w:oddVBand="0" w:evenVBand="0" w:oddHBand="1" w:evenHBand="0" w:firstRowFirstColumn="0" w:firstRowLastColumn="0" w:lastRowFirstColumn="0" w:lastRowLastColumn="0"/>
              <w:rPr>
                <w:color w:val="auto"/>
                <w:u w:val="none"/>
                <w:lang w:eastAsia="en-US"/>
              </w:rPr>
            </w:pPr>
            <w:r w:rsidRPr="00FA1A2A">
              <w:rPr>
                <w:color w:val="auto"/>
                <w:u w:val="none"/>
                <w:lang w:eastAsia="en-US"/>
              </w:rPr>
              <w:t>Grado de experiencia en las tecnologías de información y comunicación empleadas en programas educativos en modalidad no escolarizada.</w:t>
            </w:r>
          </w:p>
        </w:tc>
      </w:tr>
    </w:tbl>
    <w:p w14:paraId="6B697124" w14:textId="67F4FEE0" w:rsidR="00C30FCB" w:rsidRPr="00441AF2" w:rsidRDefault="00441AF2" w:rsidP="00441AF2">
      <w:pPr>
        <w:autoSpaceDE w:val="0"/>
        <w:autoSpaceDN w:val="0"/>
        <w:adjustRightInd w:val="0"/>
        <w:spacing w:line="360" w:lineRule="auto"/>
        <w:jc w:val="center"/>
      </w:pPr>
      <w:r w:rsidRPr="00441AF2">
        <w:t xml:space="preserve"> </w:t>
      </w:r>
      <w:r w:rsidR="00D75AF6">
        <w:t xml:space="preserve">Fuente: </w:t>
      </w:r>
      <w:r w:rsidR="00C30FCB" w:rsidRPr="00441AF2">
        <w:t>Elaboración propia</w:t>
      </w:r>
      <w:r w:rsidR="00BE4402" w:rsidRPr="00441AF2">
        <w:t xml:space="preserve"> (2021)</w:t>
      </w:r>
    </w:p>
    <w:p w14:paraId="00A183A0" w14:textId="4AB12CE1" w:rsidR="00C30FCB" w:rsidRDefault="00C30FCB" w:rsidP="007B3952">
      <w:pPr>
        <w:spacing w:line="360" w:lineRule="auto"/>
        <w:ind w:firstLine="709"/>
        <w:jc w:val="both"/>
        <w:rPr>
          <w:color w:val="000000"/>
          <w:lang w:eastAsia="es-ES_tradnl"/>
        </w:rPr>
      </w:pPr>
      <w:r w:rsidRPr="00C30FCB">
        <w:rPr>
          <w:color w:val="000000"/>
          <w:lang w:eastAsia="es-ES_tradnl"/>
        </w:rPr>
        <w:t xml:space="preserve">Debido a la contingencia sanitaria, la distribución del cuestionario se realizó a través de contactos personales, se logró tener la participación de docentes de seis organismos académicos de la </w:t>
      </w:r>
      <w:r w:rsidR="00BB1F1A">
        <w:rPr>
          <w:color w:val="000000"/>
          <w:lang w:eastAsia="es-ES_tradnl"/>
        </w:rPr>
        <w:t>universidad</w:t>
      </w:r>
      <w:r w:rsidRPr="00C30FCB">
        <w:rPr>
          <w:color w:val="000000"/>
          <w:lang w:eastAsia="es-ES_tradnl"/>
        </w:rPr>
        <w:t>.</w:t>
      </w:r>
      <w:r>
        <w:rPr>
          <w:color w:val="000000"/>
          <w:lang w:eastAsia="es-ES_tradnl"/>
        </w:rPr>
        <w:t xml:space="preserve"> </w:t>
      </w:r>
      <w:r w:rsidRPr="00C30FCB">
        <w:rPr>
          <w:color w:val="000000"/>
          <w:lang w:eastAsia="es-ES_tradnl"/>
        </w:rPr>
        <w:t xml:space="preserve">Se mantuvo abierta la recepción de cuestionarios durante un plazo de 10 días. Se recibieron 22 cuestionarios contestados digitalmente. </w:t>
      </w:r>
    </w:p>
    <w:p w14:paraId="6513DB9A" w14:textId="24E9D584" w:rsidR="00C30FCB" w:rsidRDefault="00C30FCB" w:rsidP="007B3952">
      <w:pPr>
        <w:spacing w:line="360" w:lineRule="auto"/>
        <w:ind w:firstLine="709"/>
        <w:jc w:val="both"/>
        <w:rPr>
          <w:color w:val="000000"/>
          <w:lang w:eastAsia="es-ES_tradnl"/>
        </w:rPr>
      </w:pPr>
      <w:r w:rsidRPr="00C30FCB">
        <w:rPr>
          <w:color w:val="000000"/>
          <w:lang w:eastAsia="es-ES_tradnl"/>
        </w:rPr>
        <w:t xml:space="preserve">La distribución de los cuestionarios contestados por espacio académico fue la siguiente: 1 cuestionario de la </w:t>
      </w:r>
      <w:r w:rsidR="00F1181C">
        <w:rPr>
          <w:color w:val="000000"/>
          <w:lang w:eastAsia="es-ES_tradnl"/>
        </w:rPr>
        <w:t>F</w:t>
      </w:r>
      <w:r w:rsidRPr="00C30FCB">
        <w:rPr>
          <w:color w:val="000000"/>
          <w:lang w:eastAsia="es-ES_tradnl"/>
        </w:rPr>
        <w:t xml:space="preserve">acultad  de  Ciencias Políticas y Sociales, 7 cuestionarios de la </w:t>
      </w:r>
      <w:r w:rsidR="00F1181C">
        <w:rPr>
          <w:color w:val="000000"/>
          <w:lang w:eastAsia="es-ES_tradnl"/>
        </w:rPr>
        <w:t>F</w:t>
      </w:r>
      <w:r w:rsidRPr="00C30FCB">
        <w:rPr>
          <w:color w:val="000000"/>
          <w:lang w:eastAsia="es-ES_tradnl"/>
        </w:rPr>
        <w:t xml:space="preserve">acultad de Contaduría y Administración, 1 cuestionario de la </w:t>
      </w:r>
      <w:r w:rsidR="00F1181C">
        <w:rPr>
          <w:color w:val="000000"/>
          <w:lang w:eastAsia="es-ES_tradnl"/>
        </w:rPr>
        <w:t>F</w:t>
      </w:r>
      <w:r w:rsidRPr="00C30FCB">
        <w:rPr>
          <w:color w:val="000000"/>
          <w:lang w:eastAsia="es-ES_tradnl"/>
        </w:rPr>
        <w:t xml:space="preserve">acultad de Economía, 7 </w:t>
      </w:r>
      <w:r w:rsidRPr="00C30FCB">
        <w:rPr>
          <w:color w:val="000000"/>
          <w:lang w:eastAsia="es-ES_tradnl"/>
        </w:rPr>
        <w:lastRenderedPageBreak/>
        <w:t xml:space="preserve">cuestionarios de la </w:t>
      </w:r>
      <w:r w:rsidR="00F1181C">
        <w:rPr>
          <w:color w:val="000000"/>
          <w:lang w:eastAsia="es-ES_tradnl"/>
        </w:rPr>
        <w:t>F</w:t>
      </w:r>
      <w:r w:rsidRPr="00C30FCB">
        <w:rPr>
          <w:color w:val="000000"/>
          <w:lang w:eastAsia="es-ES_tradnl"/>
        </w:rPr>
        <w:t xml:space="preserve">acultad de Humanidades, 1 cuestionario de la </w:t>
      </w:r>
      <w:r w:rsidR="00F1181C">
        <w:rPr>
          <w:color w:val="000000"/>
          <w:lang w:eastAsia="es-ES_tradnl"/>
        </w:rPr>
        <w:t>F</w:t>
      </w:r>
      <w:r w:rsidRPr="00C30FCB">
        <w:rPr>
          <w:color w:val="000000"/>
          <w:lang w:eastAsia="es-ES_tradnl"/>
        </w:rPr>
        <w:t>acultad de Medicina Veterinaria y Zootecnia, 2 cuestionarios del C</w:t>
      </w:r>
      <w:r w:rsidR="00F1181C">
        <w:rPr>
          <w:color w:val="000000"/>
          <w:lang w:eastAsia="es-ES_tradnl"/>
        </w:rPr>
        <w:t xml:space="preserve">entro de Investigación </w:t>
      </w:r>
      <w:r w:rsidRPr="00C30FCB">
        <w:rPr>
          <w:color w:val="000000"/>
          <w:lang w:eastAsia="es-ES_tradnl"/>
        </w:rPr>
        <w:t>M</w:t>
      </w:r>
      <w:r w:rsidR="00F1181C">
        <w:rPr>
          <w:color w:val="000000"/>
          <w:lang w:eastAsia="es-ES_tradnl"/>
        </w:rPr>
        <w:t xml:space="preserve">ultidisciplinaria de </w:t>
      </w:r>
      <w:r w:rsidRPr="00C30FCB">
        <w:rPr>
          <w:color w:val="000000"/>
          <w:lang w:eastAsia="es-ES_tradnl"/>
        </w:rPr>
        <w:t>E</w:t>
      </w:r>
      <w:r w:rsidR="00F1181C">
        <w:rPr>
          <w:color w:val="000000"/>
          <w:lang w:eastAsia="es-ES_tradnl"/>
        </w:rPr>
        <w:t>ducación</w:t>
      </w:r>
      <w:r w:rsidRPr="00C30FCB">
        <w:rPr>
          <w:color w:val="000000"/>
          <w:lang w:eastAsia="es-ES_tradnl"/>
        </w:rPr>
        <w:t xml:space="preserve"> y en 3 cuestionarios los docentes no mencionaron el organismo académico donde realizan sus actividades</w:t>
      </w:r>
      <w:r>
        <w:rPr>
          <w:color w:val="000000"/>
          <w:lang w:eastAsia="es-ES_tradnl"/>
        </w:rPr>
        <w:t>.</w:t>
      </w:r>
    </w:p>
    <w:p w14:paraId="1C23DD3F" w14:textId="5EB66CD4" w:rsidR="00257F4F" w:rsidRDefault="00257F4F" w:rsidP="007B3952">
      <w:pPr>
        <w:spacing w:line="360" w:lineRule="auto"/>
        <w:ind w:firstLine="709"/>
        <w:jc w:val="both"/>
        <w:rPr>
          <w:color w:val="000000"/>
          <w:lang w:eastAsia="es-ES_tradnl"/>
        </w:rPr>
      </w:pPr>
      <w:r w:rsidRPr="00257F4F">
        <w:rPr>
          <w:b/>
          <w:bCs/>
          <w:color w:val="000000"/>
          <w:lang w:eastAsia="es-ES_tradnl"/>
        </w:rPr>
        <w:t>Resultados para el Indicador 1:</w:t>
      </w:r>
      <w:r>
        <w:rPr>
          <w:color w:val="000000"/>
          <w:lang w:eastAsia="es-ES_tradnl"/>
        </w:rPr>
        <w:t xml:space="preserve"> </w:t>
      </w:r>
      <w:r w:rsidRPr="00257F4F">
        <w:rPr>
          <w:color w:val="000000"/>
          <w:lang w:eastAsia="es-ES_tradnl"/>
        </w:rPr>
        <w:t xml:space="preserve">El conocimiento señalado por los docentes, en relación </w:t>
      </w:r>
      <w:r>
        <w:rPr>
          <w:color w:val="000000"/>
          <w:lang w:eastAsia="es-ES_tradnl"/>
        </w:rPr>
        <w:t>con</w:t>
      </w:r>
      <w:r w:rsidRPr="00257F4F">
        <w:rPr>
          <w:color w:val="000000"/>
          <w:lang w:eastAsia="es-ES_tradnl"/>
        </w:rPr>
        <w:t xml:space="preserve"> los aspectos evaluables incluidos en el instrumento de evaluación del PNPC, se encuentra entre sustancial y extenso en la mayoría de los indicadores, siendo el aspecto de tasa de graduación y eficiencia terminal el de menor porcentaje</w:t>
      </w:r>
      <w:r>
        <w:rPr>
          <w:color w:val="000000"/>
          <w:lang w:eastAsia="es-ES_tradnl"/>
        </w:rPr>
        <w:t xml:space="preserve">. </w:t>
      </w:r>
      <w:r w:rsidRPr="00257F4F">
        <w:rPr>
          <w:color w:val="000000"/>
          <w:lang w:eastAsia="es-ES_tradnl"/>
        </w:rPr>
        <w:t>Este alto nivel de conocimiento puede estar relacionado a la categoría asignada a los docentes que les obliga o les conviene tener el dominio en estos aspectos.</w:t>
      </w:r>
      <w:r>
        <w:rPr>
          <w:color w:val="000000"/>
          <w:lang w:eastAsia="es-ES_tradnl"/>
        </w:rPr>
        <w:t xml:space="preserve"> </w:t>
      </w:r>
      <w:r w:rsidR="002A06AE">
        <w:rPr>
          <w:color w:val="000000"/>
          <w:lang w:eastAsia="es-ES_tradnl"/>
        </w:rPr>
        <w:t xml:space="preserve">Ver figura </w:t>
      </w:r>
      <w:r w:rsidR="00641C48">
        <w:rPr>
          <w:color w:val="000000"/>
          <w:lang w:eastAsia="es-ES_tradnl"/>
        </w:rPr>
        <w:t>2</w:t>
      </w:r>
      <w:r w:rsidR="002A06AE">
        <w:rPr>
          <w:color w:val="000000"/>
          <w:lang w:eastAsia="es-ES_tradnl"/>
        </w:rPr>
        <w:t>.</w:t>
      </w:r>
    </w:p>
    <w:p w14:paraId="1779FBFA" w14:textId="77777777" w:rsidR="00FA1A2A" w:rsidRDefault="00FA1A2A" w:rsidP="007B3952">
      <w:pPr>
        <w:spacing w:line="360" w:lineRule="auto"/>
        <w:ind w:firstLine="709"/>
        <w:jc w:val="both"/>
        <w:rPr>
          <w:color w:val="000000"/>
          <w:lang w:eastAsia="es-ES_tradnl"/>
        </w:rPr>
      </w:pPr>
    </w:p>
    <w:p w14:paraId="498E9E86" w14:textId="668C0AE6" w:rsidR="00504A80" w:rsidRPr="007B3952" w:rsidRDefault="00257F4F" w:rsidP="00020E9E">
      <w:pPr>
        <w:jc w:val="center"/>
        <w:rPr>
          <w:color w:val="000000"/>
          <w:lang w:eastAsia="es-ES_tradnl"/>
        </w:rPr>
      </w:pPr>
      <w:r w:rsidRPr="007B3952">
        <w:rPr>
          <w:b/>
          <w:bCs/>
          <w:color w:val="000000"/>
          <w:lang w:eastAsia="es-ES_tradnl"/>
        </w:rPr>
        <w:t xml:space="preserve">Figura </w:t>
      </w:r>
      <w:r w:rsidR="00D75AF6">
        <w:rPr>
          <w:b/>
          <w:bCs/>
          <w:color w:val="000000"/>
          <w:lang w:eastAsia="es-ES_tradnl"/>
        </w:rPr>
        <w:t>2</w:t>
      </w:r>
      <w:r w:rsidRPr="007B3952">
        <w:rPr>
          <w:b/>
          <w:bCs/>
          <w:color w:val="000000"/>
          <w:lang w:eastAsia="es-ES_tradnl"/>
        </w:rPr>
        <w:t>.</w:t>
      </w:r>
      <w:r w:rsidRPr="007B3952">
        <w:rPr>
          <w:color w:val="000000"/>
          <w:lang w:eastAsia="es-ES_tradnl"/>
        </w:rPr>
        <w:t xml:space="preserve"> Nivel de conocimiento de los indicadores evaluados en el PNPC</w:t>
      </w:r>
    </w:p>
    <w:p w14:paraId="48C31034" w14:textId="66E7D2BA" w:rsidR="00504A80" w:rsidRDefault="00020E9E" w:rsidP="00020E9E">
      <w:pPr>
        <w:jc w:val="center"/>
        <w:rPr>
          <w:color w:val="000000"/>
          <w:sz w:val="20"/>
          <w:szCs w:val="20"/>
          <w:lang w:eastAsia="es-ES_tradnl"/>
        </w:rPr>
      </w:pPr>
      <w:r>
        <w:rPr>
          <w:noProof/>
          <w:color w:val="000000"/>
          <w:sz w:val="20"/>
          <w:szCs w:val="20"/>
          <w:lang w:eastAsia="es-ES_tradnl"/>
        </w:rPr>
        <w:drawing>
          <wp:inline distT="0" distB="0" distL="0" distR="0" wp14:anchorId="3F08A396" wp14:editId="2F2CDB5A">
            <wp:extent cx="4687682" cy="256024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13671" cy="2574439"/>
                    </a:xfrm>
                    <a:prstGeom prst="rect">
                      <a:avLst/>
                    </a:prstGeom>
                  </pic:spPr>
                </pic:pic>
              </a:graphicData>
            </a:graphic>
          </wp:inline>
        </w:drawing>
      </w:r>
    </w:p>
    <w:p w14:paraId="2DE9F199" w14:textId="78EE0F08" w:rsidR="00257F4F" w:rsidRPr="007B3952" w:rsidRDefault="00D47339" w:rsidP="007B3952">
      <w:pPr>
        <w:jc w:val="center"/>
        <w:rPr>
          <w:color w:val="000000"/>
          <w:lang w:eastAsia="es-ES_tradnl"/>
        </w:rPr>
      </w:pPr>
      <w:r>
        <w:rPr>
          <w:color w:val="000000"/>
          <w:lang w:eastAsia="es-ES_tradnl"/>
        </w:rPr>
        <w:t xml:space="preserve">Fuente: </w:t>
      </w:r>
      <w:r w:rsidR="00257F4F" w:rsidRPr="007B3952">
        <w:rPr>
          <w:color w:val="000000"/>
          <w:lang w:eastAsia="es-ES_tradnl"/>
        </w:rPr>
        <w:t>Elaboración propia</w:t>
      </w:r>
      <w:r w:rsidR="00DF45AD" w:rsidRPr="007B3952">
        <w:rPr>
          <w:color w:val="000000"/>
          <w:lang w:eastAsia="es-ES_tradnl"/>
        </w:rPr>
        <w:t xml:space="preserve"> (2021)</w:t>
      </w:r>
    </w:p>
    <w:p w14:paraId="0BCEAC41" w14:textId="12B2EEF7" w:rsidR="0019381E" w:rsidRDefault="0019381E" w:rsidP="0019381E">
      <w:pPr>
        <w:ind w:firstLine="709"/>
        <w:jc w:val="both"/>
        <w:rPr>
          <w:color w:val="000000"/>
          <w:sz w:val="20"/>
          <w:szCs w:val="20"/>
          <w:lang w:eastAsia="es-ES_tradnl"/>
        </w:rPr>
      </w:pPr>
    </w:p>
    <w:p w14:paraId="4A0578E1" w14:textId="11BA3F18" w:rsidR="003746C7" w:rsidRDefault="00257F4F" w:rsidP="007B3952">
      <w:pPr>
        <w:spacing w:line="360" w:lineRule="auto"/>
        <w:ind w:firstLine="709"/>
        <w:jc w:val="both"/>
        <w:rPr>
          <w:color w:val="000000"/>
          <w:lang w:eastAsia="es-ES_tradnl"/>
        </w:rPr>
      </w:pPr>
      <w:r w:rsidRPr="00257F4F">
        <w:rPr>
          <w:b/>
          <w:bCs/>
          <w:color w:val="000000"/>
          <w:lang w:eastAsia="es-ES_tradnl"/>
        </w:rPr>
        <w:t xml:space="preserve">Resultados para el Indicador </w:t>
      </w:r>
      <w:r>
        <w:rPr>
          <w:b/>
          <w:bCs/>
          <w:color w:val="000000"/>
          <w:lang w:eastAsia="es-ES_tradnl"/>
        </w:rPr>
        <w:t>2</w:t>
      </w:r>
      <w:r w:rsidRPr="00257F4F">
        <w:rPr>
          <w:b/>
          <w:bCs/>
          <w:color w:val="000000"/>
          <w:lang w:eastAsia="es-ES_tradnl"/>
        </w:rPr>
        <w:t>:</w:t>
      </w:r>
      <w:r>
        <w:rPr>
          <w:color w:val="000000"/>
          <w:lang w:eastAsia="es-ES_tradnl"/>
        </w:rPr>
        <w:t xml:space="preserve"> </w:t>
      </w:r>
      <w:r w:rsidRPr="00257F4F">
        <w:rPr>
          <w:color w:val="000000"/>
          <w:lang w:eastAsia="es-ES_tradnl"/>
        </w:rPr>
        <w:t>Los ítems diseñados para este indicador de la investigación permitieron obtener información sobre los aspectos contenidos en el criterio 7 “Infraestructura” del PNPC y en las secciones 7 “Servicios a la academia y la investigación” y 9 “Infraestructura” del estudio de ANUIES.</w:t>
      </w:r>
      <w:r w:rsidR="00A236CC">
        <w:rPr>
          <w:color w:val="000000"/>
          <w:lang w:eastAsia="es-ES_tradnl"/>
        </w:rPr>
        <w:t xml:space="preserve"> </w:t>
      </w:r>
      <w:r w:rsidRPr="00257F4F">
        <w:rPr>
          <w:color w:val="000000"/>
          <w:lang w:eastAsia="es-ES_tradnl"/>
        </w:rPr>
        <w:t xml:space="preserve">En la </w:t>
      </w:r>
      <w:r w:rsidR="00515C22">
        <w:rPr>
          <w:color w:val="000000"/>
          <w:lang w:eastAsia="es-ES_tradnl"/>
        </w:rPr>
        <w:t>figura 3</w:t>
      </w:r>
      <w:r w:rsidRPr="00257F4F">
        <w:rPr>
          <w:color w:val="000000"/>
          <w:lang w:eastAsia="es-ES_tradnl"/>
        </w:rPr>
        <w:t xml:space="preserve"> se muestra la participación de los docentes en actividades señaladas en la sección de “Servicios a la academia y la investigación” del estudio de ANUIES. Los porcentajes más bajos se encuentran en las actividades de diseño instruccional y elaboración de guiones o guías de estudio independientes.</w:t>
      </w:r>
    </w:p>
    <w:p w14:paraId="310CE57F" w14:textId="56CD1380" w:rsidR="00FA1A2A" w:rsidRDefault="00FA1A2A" w:rsidP="007B3952">
      <w:pPr>
        <w:spacing w:line="360" w:lineRule="auto"/>
        <w:ind w:firstLine="709"/>
        <w:jc w:val="both"/>
        <w:rPr>
          <w:color w:val="000000"/>
          <w:lang w:eastAsia="es-ES_tradnl"/>
        </w:rPr>
      </w:pPr>
    </w:p>
    <w:p w14:paraId="1471F197" w14:textId="724DEA65" w:rsidR="00FA1A2A" w:rsidRDefault="00FA1A2A" w:rsidP="007B3952">
      <w:pPr>
        <w:spacing w:line="360" w:lineRule="auto"/>
        <w:ind w:firstLine="709"/>
        <w:jc w:val="both"/>
        <w:rPr>
          <w:color w:val="000000"/>
          <w:lang w:eastAsia="es-ES_tradnl"/>
        </w:rPr>
      </w:pPr>
    </w:p>
    <w:p w14:paraId="32261BE7" w14:textId="77777777" w:rsidR="00FA1A2A" w:rsidRDefault="00FA1A2A" w:rsidP="007B3952">
      <w:pPr>
        <w:spacing w:line="360" w:lineRule="auto"/>
        <w:ind w:firstLine="709"/>
        <w:jc w:val="both"/>
        <w:rPr>
          <w:color w:val="000000"/>
          <w:lang w:eastAsia="es-ES_tradnl"/>
        </w:rPr>
      </w:pPr>
    </w:p>
    <w:p w14:paraId="738FAADD" w14:textId="7414CDAB" w:rsidR="00A236CC" w:rsidRPr="007B3952" w:rsidRDefault="00515C22" w:rsidP="007B3952">
      <w:pPr>
        <w:spacing w:line="360" w:lineRule="auto"/>
        <w:jc w:val="center"/>
        <w:rPr>
          <w:color w:val="000000"/>
          <w:lang w:eastAsia="es-ES_tradnl"/>
        </w:rPr>
      </w:pPr>
      <w:r>
        <w:rPr>
          <w:b/>
          <w:bCs/>
          <w:color w:val="000000"/>
          <w:lang w:eastAsia="es-ES_tradnl"/>
        </w:rPr>
        <w:lastRenderedPageBreak/>
        <w:t>Figura 3</w:t>
      </w:r>
      <w:r w:rsidR="00A236CC" w:rsidRPr="007B3952">
        <w:rPr>
          <w:b/>
          <w:bCs/>
          <w:color w:val="000000"/>
          <w:lang w:eastAsia="es-ES_tradnl"/>
        </w:rPr>
        <w:t xml:space="preserve">. </w:t>
      </w:r>
      <w:r w:rsidR="00A236CC" w:rsidRPr="007B3952">
        <w:rPr>
          <w:color w:val="000000"/>
          <w:lang w:eastAsia="es-ES_tradnl"/>
        </w:rPr>
        <w:t>Participación en actividades señaladas en el estudio ANUIES</w:t>
      </w:r>
    </w:p>
    <w:p w14:paraId="5C16E934" w14:textId="076F419D" w:rsidR="00187A76" w:rsidRDefault="00020E9E" w:rsidP="00187A76">
      <w:pPr>
        <w:jc w:val="center"/>
        <w:rPr>
          <w:b/>
          <w:bCs/>
          <w:color w:val="000000"/>
          <w:sz w:val="20"/>
          <w:szCs w:val="20"/>
          <w:lang w:eastAsia="es-ES_tradnl"/>
        </w:rPr>
      </w:pPr>
      <w:r>
        <w:rPr>
          <w:b/>
          <w:bCs/>
          <w:noProof/>
          <w:color w:val="000000"/>
          <w:sz w:val="20"/>
          <w:szCs w:val="20"/>
          <w:lang w:eastAsia="es-ES_tradnl"/>
        </w:rPr>
        <w:drawing>
          <wp:inline distT="0" distB="0" distL="0" distR="0" wp14:anchorId="5234C680" wp14:editId="31A65535">
            <wp:extent cx="4630722" cy="2560048"/>
            <wp:effectExtent l="0" t="0" r="508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79832" cy="2587198"/>
                    </a:xfrm>
                    <a:prstGeom prst="rect">
                      <a:avLst/>
                    </a:prstGeom>
                  </pic:spPr>
                </pic:pic>
              </a:graphicData>
            </a:graphic>
          </wp:inline>
        </w:drawing>
      </w:r>
    </w:p>
    <w:p w14:paraId="024D3975" w14:textId="71561011" w:rsidR="00DF45AD" w:rsidRPr="007B3952" w:rsidRDefault="001B1BFE" w:rsidP="007B3952">
      <w:pPr>
        <w:jc w:val="center"/>
        <w:rPr>
          <w:color w:val="000000"/>
          <w:lang w:eastAsia="es-ES_tradnl"/>
        </w:rPr>
      </w:pPr>
      <w:r>
        <w:rPr>
          <w:color w:val="000000"/>
          <w:lang w:eastAsia="es-ES_tradnl"/>
        </w:rPr>
        <w:t xml:space="preserve">Fuente: </w:t>
      </w:r>
      <w:r w:rsidR="00A236CC" w:rsidRPr="007B3952">
        <w:rPr>
          <w:color w:val="000000"/>
          <w:lang w:eastAsia="es-ES_tradnl"/>
        </w:rPr>
        <w:t>Elaboración propia</w:t>
      </w:r>
      <w:r w:rsidR="00DF45AD" w:rsidRPr="007B3952">
        <w:rPr>
          <w:color w:val="000000"/>
          <w:lang w:eastAsia="es-ES_tradnl"/>
        </w:rPr>
        <w:t xml:space="preserve"> (2021)</w:t>
      </w:r>
    </w:p>
    <w:p w14:paraId="43EB2429" w14:textId="23E615A0" w:rsidR="007B3952" w:rsidRDefault="00A236CC" w:rsidP="002A06AE">
      <w:pPr>
        <w:spacing w:line="360" w:lineRule="auto"/>
        <w:ind w:firstLine="709"/>
        <w:jc w:val="both"/>
        <w:rPr>
          <w:color w:val="000000"/>
          <w:lang w:eastAsia="es-ES_tradnl"/>
        </w:rPr>
      </w:pPr>
      <w:r w:rsidRPr="00A236CC">
        <w:rPr>
          <w:color w:val="000000"/>
          <w:lang w:eastAsia="es-ES_tradnl"/>
        </w:rPr>
        <w:t>Un alto porcentaje de los docentes</w:t>
      </w:r>
      <w:r>
        <w:rPr>
          <w:color w:val="000000"/>
          <w:lang w:eastAsia="es-ES_tradnl"/>
        </w:rPr>
        <w:t xml:space="preserve"> </w:t>
      </w:r>
      <w:r w:rsidRPr="00A236CC">
        <w:rPr>
          <w:color w:val="000000"/>
          <w:lang w:eastAsia="es-ES_tradnl"/>
        </w:rPr>
        <w:t>realiza</w:t>
      </w:r>
      <w:r>
        <w:rPr>
          <w:color w:val="000000"/>
          <w:lang w:eastAsia="es-ES_tradnl"/>
        </w:rPr>
        <w:t xml:space="preserve"> acciones relacionadas con la </w:t>
      </w:r>
      <w:r w:rsidRPr="00A236CC">
        <w:rPr>
          <w:color w:val="000000"/>
          <w:lang w:eastAsia="es-ES_tradnl"/>
        </w:rPr>
        <w:t>gestión de cursos en modalidad no escolarizada, acciones como: planificación de la unidad de aprendizaje, dar orientación y retroalimentación ente otras</w:t>
      </w:r>
      <w:r>
        <w:rPr>
          <w:color w:val="000000"/>
          <w:lang w:eastAsia="es-ES_tradnl"/>
        </w:rPr>
        <w:t xml:space="preserve">. Ver </w:t>
      </w:r>
      <w:r w:rsidRPr="00257F4F">
        <w:rPr>
          <w:color w:val="000000"/>
          <w:lang w:eastAsia="es-ES_tradnl"/>
        </w:rPr>
        <w:t xml:space="preserve">figura </w:t>
      </w:r>
      <w:r w:rsidR="00515C22">
        <w:rPr>
          <w:color w:val="000000"/>
          <w:lang w:eastAsia="es-ES_tradnl"/>
        </w:rPr>
        <w:t>4</w:t>
      </w:r>
      <w:r>
        <w:rPr>
          <w:color w:val="000000"/>
          <w:lang w:eastAsia="es-ES_tradnl"/>
        </w:rPr>
        <w:t>.</w:t>
      </w:r>
    </w:p>
    <w:p w14:paraId="1B57874F" w14:textId="48BD9E6A" w:rsidR="00A236CC" w:rsidRDefault="00A236CC" w:rsidP="007B3952">
      <w:pPr>
        <w:jc w:val="center"/>
        <w:rPr>
          <w:color w:val="000000"/>
          <w:lang w:eastAsia="es-ES_tradnl"/>
        </w:rPr>
      </w:pPr>
      <w:r w:rsidRPr="007B3952">
        <w:rPr>
          <w:b/>
          <w:bCs/>
          <w:color w:val="000000"/>
          <w:lang w:eastAsia="es-ES_tradnl"/>
        </w:rPr>
        <w:t>Figura</w:t>
      </w:r>
      <w:r w:rsidR="00515C22">
        <w:rPr>
          <w:b/>
          <w:bCs/>
          <w:color w:val="000000"/>
          <w:lang w:eastAsia="es-ES_tradnl"/>
        </w:rPr>
        <w:t xml:space="preserve"> 4</w:t>
      </w:r>
      <w:r w:rsidRPr="007B3952">
        <w:rPr>
          <w:b/>
          <w:bCs/>
          <w:color w:val="000000"/>
          <w:lang w:eastAsia="es-ES_tradnl"/>
        </w:rPr>
        <w:t>.</w:t>
      </w:r>
      <w:r w:rsidRPr="007B3952">
        <w:rPr>
          <w:color w:val="000000"/>
          <w:lang w:eastAsia="es-ES_tradnl"/>
        </w:rPr>
        <w:t xml:space="preserve"> Acciones en la gestión de los cursos en modalidad no escolarizada</w:t>
      </w:r>
    </w:p>
    <w:p w14:paraId="1D5F6C10" w14:textId="6526A800" w:rsidR="00020E9E" w:rsidRDefault="00020E9E" w:rsidP="007B3952">
      <w:pPr>
        <w:jc w:val="center"/>
        <w:rPr>
          <w:color w:val="000000"/>
          <w:lang w:eastAsia="es-ES_tradnl"/>
        </w:rPr>
      </w:pPr>
      <w:r>
        <w:rPr>
          <w:noProof/>
          <w:color w:val="000000"/>
          <w:lang w:eastAsia="es-ES_tradnl"/>
        </w:rPr>
        <w:drawing>
          <wp:inline distT="0" distB="0" distL="0" distR="0" wp14:anchorId="1707E5E3" wp14:editId="196E8BA8">
            <wp:extent cx="4313622" cy="2288104"/>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72184" cy="2319168"/>
                    </a:xfrm>
                    <a:prstGeom prst="rect">
                      <a:avLst/>
                    </a:prstGeom>
                  </pic:spPr>
                </pic:pic>
              </a:graphicData>
            </a:graphic>
          </wp:inline>
        </w:drawing>
      </w:r>
    </w:p>
    <w:p w14:paraId="0A59351E" w14:textId="711AF94B" w:rsidR="00A236CC" w:rsidRPr="007B3952" w:rsidRDefault="00020E9E" w:rsidP="007B3952">
      <w:pPr>
        <w:jc w:val="center"/>
        <w:rPr>
          <w:color w:val="000000"/>
          <w:lang w:eastAsia="es-ES_tradnl"/>
        </w:rPr>
      </w:pPr>
      <w:r>
        <w:rPr>
          <w:color w:val="000000"/>
          <w:lang w:eastAsia="es-ES_tradnl"/>
        </w:rPr>
        <w:t>Fuente:</w:t>
      </w:r>
      <w:r w:rsidR="00A236CC" w:rsidRPr="007B3952">
        <w:rPr>
          <w:color w:val="000000"/>
          <w:lang w:eastAsia="es-ES_tradnl"/>
        </w:rPr>
        <w:t>Elaboración propia</w:t>
      </w:r>
      <w:r w:rsidR="00BE4402" w:rsidRPr="007B3952">
        <w:rPr>
          <w:color w:val="000000"/>
          <w:lang w:eastAsia="es-ES_tradnl"/>
        </w:rPr>
        <w:t xml:space="preserve"> (2021)</w:t>
      </w:r>
    </w:p>
    <w:p w14:paraId="4B42A90D" w14:textId="0A086ED2" w:rsidR="00A236CC" w:rsidRDefault="00A236CC" w:rsidP="007B3952">
      <w:pPr>
        <w:spacing w:line="360" w:lineRule="auto"/>
        <w:ind w:firstLine="567"/>
        <w:jc w:val="both"/>
        <w:rPr>
          <w:color w:val="000000"/>
          <w:lang w:eastAsia="es-ES_tradnl"/>
        </w:rPr>
      </w:pPr>
      <w:r>
        <w:rPr>
          <w:color w:val="000000"/>
          <w:lang w:eastAsia="es-ES_tradnl"/>
        </w:rPr>
        <w:t>Con</w:t>
      </w:r>
      <w:r w:rsidRPr="00A236CC">
        <w:rPr>
          <w:color w:val="000000"/>
          <w:lang w:eastAsia="es-ES_tradnl"/>
        </w:rPr>
        <w:t xml:space="preserve"> relación a las plataformas educativas utilizadas, el 100% de los académicos señaló como plataforma educativa a la herramienta Teams de Microsoft, en segunda posición quedó ubicada la plataforma institucional Seduca</w:t>
      </w:r>
      <w:r>
        <w:rPr>
          <w:color w:val="000000"/>
          <w:lang w:eastAsia="es-ES_tradnl"/>
        </w:rPr>
        <w:t>.</w:t>
      </w:r>
    </w:p>
    <w:p w14:paraId="009032C7" w14:textId="77777777" w:rsidR="007B3952" w:rsidRDefault="007B3952" w:rsidP="007B3952">
      <w:pPr>
        <w:spacing w:line="360" w:lineRule="auto"/>
        <w:ind w:firstLine="567"/>
        <w:jc w:val="both"/>
        <w:rPr>
          <w:color w:val="000000"/>
          <w:lang w:eastAsia="es-ES_tradnl"/>
        </w:rPr>
      </w:pPr>
    </w:p>
    <w:p w14:paraId="4D7A9670" w14:textId="72FC6B82" w:rsidR="00397F9F" w:rsidRDefault="00397F9F" w:rsidP="007B3952">
      <w:pPr>
        <w:spacing w:line="360" w:lineRule="auto"/>
        <w:jc w:val="center"/>
        <w:rPr>
          <w:rFonts w:eastAsiaTheme="minorHAnsi"/>
          <w:b/>
          <w:sz w:val="32"/>
          <w:lang w:eastAsia="en-US"/>
        </w:rPr>
      </w:pPr>
      <w:r w:rsidRPr="00F44ACD">
        <w:rPr>
          <w:rFonts w:eastAsiaTheme="minorHAnsi"/>
          <w:b/>
          <w:sz w:val="32"/>
          <w:lang w:eastAsia="en-US"/>
        </w:rPr>
        <w:t>Discusión</w:t>
      </w:r>
    </w:p>
    <w:p w14:paraId="1335DFD3" w14:textId="3494EBD5" w:rsidR="005C1EAA" w:rsidRDefault="00AD7C61" w:rsidP="007B3952">
      <w:pPr>
        <w:spacing w:line="360" w:lineRule="auto"/>
        <w:ind w:firstLine="709"/>
        <w:jc w:val="both"/>
        <w:rPr>
          <w:color w:val="000000"/>
          <w:lang w:eastAsia="es-ES_tradnl"/>
        </w:rPr>
      </w:pPr>
      <w:r>
        <w:rPr>
          <w:color w:val="000000"/>
          <w:lang w:eastAsia="es-ES_tradnl"/>
        </w:rPr>
        <w:t xml:space="preserve">Considerando </w:t>
      </w:r>
      <w:r w:rsidRPr="00AD7C61">
        <w:rPr>
          <w:color w:val="000000"/>
          <w:lang w:eastAsia="es-ES_tradnl"/>
        </w:rPr>
        <w:t>el conocimiento</w:t>
      </w:r>
      <w:r>
        <w:rPr>
          <w:color w:val="000000"/>
          <w:lang w:eastAsia="es-ES_tradnl"/>
        </w:rPr>
        <w:t xml:space="preserve"> y experiencia </w:t>
      </w:r>
      <w:r w:rsidRPr="00AD7C61">
        <w:rPr>
          <w:color w:val="000000"/>
          <w:lang w:eastAsia="es-ES_tradnl"/>
        </w:rPr>
        <w:t>que posee la comunidad de académicos en el nivel de posgrado, acerca de los indicadores de calidad para programas de posgrado escolarizado, como lo revelaron los resultados del estudio</w:t>
      </w:r>
      <w:r w:rsidR="005C1EAA">
        <w:rPr>
          <w:color w:val="000000"/>
          <w:lang w:eastAsia="es-ES_tradnl"/>
        </w:rPr>
        <w:t>,</w:t>
      </w:r>
      <w:r>
        <w:rPr>
          <w:color w:val="000000"/>
          <w:lang w:eastAsia="es-ES_tradnl"/>
        </w:rPr>
        <w:t xml:space="preserve"> se sugiere aprovecharla</w:t>
      </w:r>
      <w:r w:rsidR="005C1EAA" w:rsidRPr="005C1EAA">
        <w:rPr>
          <w:color w:val="000000"/>
          <w:lang w:eastAsia="es-ES_tradnl"/>
        </w:rPr>
        <w:t xml:space="preserve"> para orientar los esfuerzos hacia el diseño de nuevos programas de posgrado que estén bajo los </w:t>
      </w:r>
      <w:r w:rsidR="005C1EAA" w:rsidRPr="005C1EAA">
        <w:rPr>
          <w:color w:val="000000"/>
          <w:lang w:eastAsia="es-ES_tradnl"/>
        </w:rPr>
        <w:lastRenderedPageBreak/>
        <w:t>estándares de calidad fijados a nivel nacional, y también lograr el registro de calidad en aquellos programas ya existentes en la facultad.</w:t>
      </w:r>
    </w:p>
    <w:p w14:paraId="161B950A" w14:textId="6168ADDF" w:rsidR="005C1EAA" w:rsidRDefault="005C1EAA" w:rsidP="007B3952">
      <w:pPr>
        <w:spacing w:line="360" w:lineRule="auto"/>
        <w:ind w:firstLine="709"/>
        <w:jc w:val="both"/>
        <w:rPr>
          <w:color w:val="000000"/>
          <w:lang w:eastAsia="es-ES_tradnl"/>
        </w:rPr>
      </w:pPr>
      <w:r w:rsidRPr="005C1EAA">
        <w:rPr>
          <w:color w:val="000000"/>
          <w:lang w:eastAsia="es-ES_tradnl"/>
        </w:rPr>
        <w:t xml:space="preserve">La </w:t>
      </w:r>
      <w:r w:rsidR="00975E95">
        <w:rPr>
          <w:color w:val="000000"/>
          <w:lang w:eastAsia="es-ES_tradnl"/>
        </w:rPr>
        <w:t>Universidad pública</w:t>
      </w:r>
      <w:r w:rsidRPr="005C1EAA">
        <w:rPr>
          <w:color w:val="000000"/>
          <w:lang w:eastAsia="es-ES_tradnl"/>
        </w:rPr>
        <w:t xml:space="preserve"> ofertó en el año 2019, 97 programas de estudios avanzados </w:t>
      </w:r>
      <w:r>
        <w:rPr>
          <w:color w:val="000000"/>
          <w:lang w:eastAsia="es-ES_tradnl"/>
        </w:rPr>
        <w:t>s</w:t>
      </w:r>
      <w:r w:rsidRPr="005C1EAA">
        <w:rPr>
          <w:color w:val="000000"/>
          <w:lang w:eastAsia="es-ES_tradnl"/>
        </w:rPr>
        <w:t>ólo el 1.03% de estos programas se señalan en la modalidad a distancia.</w:t>
      </w:r>
      <w:r>
        <w:rPr>
          <w:color w:val="000000"/>
          <w:lang w:eastAsia="es-ES_tradnl"/>
        </w:rPr>
        <w:t xml:space="preserve"> Por lo que </w:t>
      </w:r>
      <w:r w:rsidRPr="005C1EAA">
        <w:rPr>
          <w:color w:val="000000"/>
          <w:lang w:eastAsia="es-ES_tradnl"/>
        </w:rPr>
        <w:t>se cuenta con un</w:t>
      </w:r>
      <w:r>
        <w:rPr>
          <w:color w:val="000000"/>
          <w:lang w:eastAsia="es-ES_tradnl"/>
        </w:rPr>
        <w:t xml:space="preserve"> área</w:t>
      </w:r>
      <w:r w:rsidRPr="005C1EAA">
        <w:rPr>
          <w:color w:val="000000"/>
          <w:lang w:eastAsia="es-ES_tradnl"/>
        </w:rPr>
        <w:t xml:space="preserve"> </w:t>
      </w:r>
      <w:r>
        <w:rPr>
          <w:color w:val="000000"/>
          <w:lang w:eastAsia="es-ES_tradnl"/>
        </w:rPr>
        <w:t xml:space="preserve">de oportunidad </w:t>
      </w:r>
      <w:r w:rsidRPr="005C1EAA">
        <w:rPr>
          <w:color w:val="000000"/>
          <w:lang w:eastAsia="es-ES_tradnl"/>
        </w:rPr>
        <w:t xml:space="preserve">casi inexplorada </w:t>
      </w:r>
      <w:r>
        <w:rPr>
          <w:color w:val="000000"/>
          <w:lang w:eastAsia="es-ES_tradnl"/>
        </w:rPr>
        <w:t xml:space="preserve">de la </w:t>
      </w:r>
      <w:r w:rsidRPr="005C1EAA">
        <w:rPr>
          <w:color w:val="000000"/>
          <w:lang w:eastAsia="es-ES_tradnl"/>
        </w:rPr>
        <w:t>oferta de estudios de posgrado en modalidades no escolarizadas.</w:t>
      </w:r>
    </w:p>
    <w:p w14:paraId="414A05CE" w14:textId="0ED91A4E" w:rsidR="005C1EAA" w:rsidRPr="005C1EAA" w:rsidRDefault="005C1EAA" w:rsidP="007B3952">
      <w:pPr>
        <w:spacing w:line="360" w:lineRule="auto"/>
        <w:ind w:firstLine="709"/>
        <w:jc w:val="both"/>
        <w:rPr>
          <w:color w:val="000000"/>
          <w:lang w:eastAsia="es-ES_tradnl"/>
        </w:rPr>
      </w:pPr>
      <w:r>
        <w:rPr>
          <w:color w:val="000000"/>
          <w:lang w:eastAsia="es-ES_tradnl"/>
        </w:rPr>
        <w:t xml:space="preserve">Se propone </w:t>
      </w:r>
      <w:r w:rsidRPr="005C1EAA">
        <w:rPr>
          <w:color w:val="000000"/>
          <w:lang w:eastAsia="es-ES_tradnl"/>
        </w:rPr>
        <w:t>capacitar a los docentes sobre dos criterios e indicadores de calidad propios para programas de estudio de posgrado en modalidades no escolarizadas del PNPC</w:t>
      </w:r>
      <w:r>
        <w:rPr>
          <w:color w:val="000000"/>
          <w:lang w:eastAsia="es-ES_tradnl"/>
        </w:rPr>
        <w:t xml:space="preserve"> como lo son la </w:t>
      </w:r>
      <w:r w:rsidRPr="005C1EAA">
        <w:rPr>
          <w:color w:val="000000"/>
          <w:lang w:eastAsia="es-ES_tradnl"/>
        </w:rPr>
        <w:t xml:space="preserve">Infraestructura y el Proceso de Enseñanza Aprendizaje.  </w:t>
      </w:r>
    </w:p>
    <w:p w14:paraId="65B2149A" w14:textId="01659162" w:rsidR="005C1EAA" w:rsidRPr="005C1EAA" w:rsidRDefault="005C1EAA" w:rsidP="007B3952">
      <w:pPr>
        <w:spacing w:line="360" w:lineRule="auto"/>
        <w:ind w:firstLine="709"/>
        <w:jc w:val="both"/>
        <w:rPr>
          <w:color w:val="000000"/>
          <w:lang w:eastAsia="es-ES_tradnl"/>
        </w:rPr>
      </w:pPr>
      <w:r>
        <w:rPr>
          <w:color w:val="000000"/>
          <w:lang w:eastAsia="es-ES_tradnl"/>
        </w:rPr>
        <w:t xml:space="preserve">Cabe resaltar que la mayor área de oportunidad se encuentra en el </w:t>
      </w:r>
      <w:r w:rsidRPr="005C1EAA">
        <w:rPr>
          <w:color w:val="000000"/>
          <w:lang w:eastAsia="es-ES_tradnl"/>
        </w:rPr>
        <w:t>diseño instruccional</w:t>
      </w:r>
      <w:r w:rsidR="00904E90">
        <w:rPr>
          <w:color w:val="000000"/>
          <w:lang w:eastAsia="es-ES_tradnl"/>
        </w:rPr>
        <w:t xml:space="preserve">, </w:t>
      </w:r>
      <w:r w:rsidRPr="005C1EAA">
        <w:rPr>
          <w:color w:val="000000"/>
          <w:lang w:eastAsia="es-ES_tradnl"/>
        </w:rPr>
        <w:t xml:space="preserve">elaboración de guiones y materiales para la plataforma. Una acción importante </w:t>
      </w:r>
      <w:r w:rsidR="00904E90">
        <w:rPr>
          <w:color w:val="000000"/>
          <w:lang w:eastAsia="es-ES_tradnl"/>
        </w:rPr>
        <w:t xml:space="preserve">consistirá en </w:t>
      </w:r>
      <w:r w:rsidRPr="005C1EAA">
        <w:rPr>
          <w:color w:val="000000"/>
          <w:lang w:eastAsia="es-ES_tradnl"/>
        </w:rPr>
        <w:t>acercar a los docentes al uso de diversos materiales de apoyo, productos de aprendizaje y a explorar otras tecnologías educativas y técnicas didácticas.</w:t>
      </w:r>
    </w:p>
    <w:p w14:paraId="7BCD4BDB" w14:textId="3315B9C7" w:rsidR="005C1EAA" w:rsidRPr="005C1EAA" w:rsidRDefault="003746C7" w:rsidP="007B3952">
      <w:pPr>
        <w:spacing w:line="360" w:lineRule="auto"/>
        <w:ind w:firstLine="709"/>
        <w:jc w:val="both"/>
        <w:rPr>
          <w:color w:val="000000"/>
          <w:lang w:eastAsia="es-ES_tradnl"/>
        </w:rPr>
      </w:pPr>
      <w:r>
        <w:rPr>
          <w:color w:val="000000"/>
          <w:lang w:eastAsia="es-ES_tradnl"/>
        </w:rPr>
        <w:t xml:space="preserve">La Universidad pública y sus Instituciones de Educación Superior </w:t>
      </w:r>
      <w:r w:rsidR="005C1EAA" w:rsidRPr="005C1EAA">
        <w:rPr>
          <w:color w:val="000000"/>
          <w:lang w:eastAsia="es-ES_tradnl"/>
        </w:rPr>
        <w:t>pueden dar</w:t>
      </w:r>
      <w:r>
        <w:rPr>
          <w:color w:val="000000"/>
          <w:lang w:eastAsia="es-ES_tradnl"/>
        </w:rPr>
        <w:t xml:space="preserve"> r</w:t>
      </w:r>
      <w:r w:rsidR="005C1EAA" w:rsidRPr="005C1EAA">
        <w:rPr>
          <w:color w:val="000000"/>
          <w:lang w:eastAsia="es-ES_tradnl"/>
        </w:rPr>
        <w:t>espuesta una necesidad social y global, evidenciada con lo vivido en los últimos meses a raíz de la contingencia sanitaria, la respuesta consiste en ofertar programas educativos de calidad en el nivel de posgrado en modalidad no escolarizada.</w:t>
      </w:r>
    </w:p>
    <w:p w14:paraId="5152EAB6" w14:textId="77777777" w:rsidR="005C1EAA" w:rsidRPr="005C1EAA" w:rsidRDefault="005C1EAA" w:rsidP="007B3952">
      <w:pPr>
        <w:spacing w:line="360" w:lineRule="auto"/>
        <w:ind w:firstLine="709"/>
        <w:jc w:val="both"/>
        <w:rPr>
          <w:color w:val="000000"/>
          <w:lang w:eastAsia="es-ES_tradnl"/>
        </w:rPr>
      </w:pPr>
    </w:p>
    <w:p w14:paraId="50D4DF78" w14:textId="51DD0504" w:rsidR="00B31B6E" w:rsidRDefault="00B31B6E" w:rsidP="007B3952">
      <w:pPr>
        <w:spacing w:line="360" w:lineRule="auto"/>
        <w:jc w:val="center"/>
        <w:rPr>
          <w:b/>
          <w:sz w:val="32"/>
        </w:rPr>
      </w:pPr>
      <w:r w:rsidRPr="006D0A4A">
        <w:rPr>
          <w:b/>
          <w:sz w:val="32"/>
        </w:rPr>
        <w:t>Conclusiones</w:t>
      </w:r>
    </w:p>
    <w:p w14:paraId="1A2A7245" w14:textId="0C545E47" w:rsidR="00904E90" w:rsidRPr="00904E90" w:rsidRDefault="00904E90" w:rsidP="007B3952">
      <w:pPr>
        <w:spacing w:line="360" w:lineRule="auto"/>
        <w:ind w:firstLine="709"/>
        <w:jc w:val="both"/>
        <w:rPr>
          <w:color w:val="000000"/>
          <w:lang w:eastAsia="es-ES_tradnl"/>
        </w:rPr>
      </w:pPr>
      <w:r w:rsidRPr="00904E90">
        <w:rPr>
          <w:color w:val="000000"/>
          <w:lang w:eastAsia="es-ES_tradnl"/>
        </w:rPr>
        <w:t xml:space="preserve">El proceso de evaluación de los programas de posgrado busca “elevar la pertinencia y calidad de los programas de posgrado en México”, </w:t>
      </w:r>
      <w:r>
        <w:rPr>
          <w:color w:val="000000"/>
          <w:lang w:eastAsia="es-ES_tradnl"/>
        </w:rPr>
        <w:t xml:space="preserve">cabe señalar que </w:t>
      </w:r>
      <w:r w:rsidR="0081743D">
        <w:rPr>
          <w:color w:val="000000"/>
          <w:lang w:eastAsia="es-ES_tradnl"/>
        </w:rPr>
        <w:t>la IES estudiada</w:t>
      </w:r>
      <w:r w:rsidRPr="00904E90">
        <w:rPr>
          <w:color w:val="000000"/>
          <w:lang w:eastAsia="es-ES_tradnl"/>
        </w:rPr>
        <w:t xml:space="preserve"> se cuenta con la experiencia para construir planes y programas que cumplan con los criterios del PNPC.</w:t>
      </w:r>
    </w:p>
    <w:p w14:paraId="70198DAD" w14:textId="2D13CA78" w:rsidR="00DF4F75" w:rsidRDefault="00DF4F75" w:rsidP="007B3952">
      <w:pPr>
        <w:spacing w:line="360" w:lineRule="auto"/>
        <w:ind w:firstLine="709"/>
        <w:jc w:val="both"/>
        <w:rPr>
          <w:color w:val="000000"/>
          <w:lang w:eastAsia="es-ES_tradnl"/>
        </w:rPr>
      </w:pPr>
      <w:r w:rsidRPr="00332A67">
        <w:rPr>
          <w:color w:val="000000"/>
          <w:lang w:eastAsia="es-ES_tradnl"/>
        </w:rPr>
        <w:t>Desde el comienzo de esta investigación el interés fue generar un trabajo que contuviera aportaciones de utilidad</w:t>
      </w:r>
      <w:r>
        <w:rPr>
          <w:color w:val="000000"/>
          <w:lang w:eastAsia="es-ES_tradnl"/>
        </w:rPr>
        <w:t xml:space="preserve">, como potencializar </w:t>
      </w:r>
      <w:r w:rsidRPr="00332A67">
        <w:rPr>
          <w:color w:val="000000"/>
          <w:lang w:eastAsia="es-ES_tradnl"/>
        </w:rPr>
        <w:t>los programas de estudio de posgrado de calidad y las modalidades no escolarizadas en los estudios de posgrado</w:t>
      </w:r>
      <w:r>
        <w:rPr>
          <w:color w:val="000000"/>
          <w:lang w:eastAsia="es-ES_tradnl"/>
        </w:rPr>
        <w:t xml:space="preserve">. </w:t>
      </w:r>
    </w:p>
    <w:p w14:paraId="6B4B30FD" w14:textId="77777777" w:rsidR="00BF54DA" w:rsidRPr="00826652" w:rsidRDefault="00BF54DA" w:rsidP="007B3952">
      <w:pPr>
        <w:spacing w:line="360" w:lineRule="auto"/>
        <w:ind w:firstLine="709"/>
        <w:jc w:val="both"/>
        <w:rPr>
          <w:color w:val="000000"/>
          <w:lang w:eastAsia="es-ES_tradnl"/>
        </w:rPr>
      </w:pPr>
    </w:p>
    <w:p w14:paraId="1F5D1292" w14:textId="0D91C47F" w:rsidR="00DF4F75" w:rsidRPr="007B3952" w:rsidRDefault="00DF4F75" w:rsidP="007B3952">
      <w:pPr>
        <w:spacing w:line="360" w:lineRule="auto"/>
        <w:jc w:val="center"/>
        <w:rPr>
          <w:rFonts w:eastAsiaTheme="minorHAnsi"/>
          <w:b/>
          <w:bCs/>
          <w:sz w:val="26"/>
          <w:szCs w:val="26"/>
          <w:lang w:eastAsia="en-US"/>
        </w:rPr>
      </w:pPr>
      <w:r w:rsidRPr="007B3952">
        <w:rPr>
          <w:rFonts w:eastAsiaTheme="minorHAnsi"/>
          <w:b/>
          <w:bCs/>
          <w:sz w:val="26"/>
          <w:szCs w:val="26"/>
          <w:lang w:eastAsia="en-US"/>
        </w:rPr>
        <w:t>Programas de estudio de posgrado de calidad</w:t>
      </w:r>
    </w:p>
    <w:p w14:paraId="509E3418" w14:textId="1CC87780" w:rsidR="00DF4F75" w:rsidRPr="00332A67" w:rsidRDefault="00DF4F75" w:rsidP="007B3952">
      <w:pPr>
        <w:spacing w:line="360" w:lineRule="auto"/>
        <w:ind w:firstLine="709"/>
        <w:jc w:val="both"/>
        <w:rPr>
          <w:color w:val="000000"/>
          <w:lang w:eastAsia="es-ES_tradnl"/>
        </w:rPr>
      </w:pPr>
      <w:r w:rsidRPr="00332A67">
        <w:rPr>
          <w:color w:val="000000"/>
          <w:lang w:eastAsia="es-ES_tradnl"/>
        </w:rPr>
        <w:t xml:space="preserve">De los 97 programas de estudios avanzados ofertados </w:t>
      </w:r>
      <w:r w:rsidR="00826652">
        <w:rPr>
          <w:color w:val="000000"/>
          <w:lang w:eastAsia="es-ES_tradnl"/>
        </w:rPr>
        <w:t xml:space="preserve">en la Universidad </w:t>
      </w:r>
      <w:r w:rsidRPr="00332A67">
        <w:rPr>
          <w:color w:val="000000"/>
          <w:lang w:eastAsia="es-ES_tradnl"/>
        </w:rPr>
        <w:t xml:space="preserve">en 2019, 66 de ellos están registrados en el PNPC que corresponden al 68.04%, y están distribuidos en 18 especialidades, 29 maestrías y 19 doctorados. </w:t>
      </w:r>
    </w:p>
    <w:p w14:paraId="60415A61" w14:textId="43ED92DD" w:rsidR="00DF4F75" w:rsidRPr="00332A67" w:rsidRDefault="00DF4F75" w:rsidP="007B3952">
      <w:pPr>
        <w:spacing w:line="360" w:lineRule="auto"/>
        <w:ind w:firstLine="709"/>
        <w:jc w:val="both"/>
        <w:rPr>
          <w:color w:val="000000"/>
          <w:lang w:eastAsia="es-ES_tradnl"/>
        </w:rPr>
      </w:pPr>
      <w:r w:rsidRPr="00332A67">
        <w:rPr>
          <w:color w:val="000000"/>
          <w:lang w:eastAsia="es-ES_tradnl"/>
        </w:rPr>
        <w:t xml:space="preserve">Considerando lo anterior, en la Universidad y la </w:t>
      </w:r>
      <w:r w:rsidR="00826652">
        <w:rPr>
          <w:color w:val="000000"/>
          <w:lang w:eastAsia="es-ES_tradnl"/>
        </w:rPr>
        <w:t>IES</w:t>
      </w:r>
      <w:r w:rsidRPr="00332A67">
        <w:rPr>
          <w:color w:val="000000"/>
          <w:lang w:eastAsia="es-ES_tradnl"/>
        </w:rPr>
        <w:t xml:space="preserve"> existen programas de estudios de posgrados registrados en el PNPC, se sugiere aprovechar el conocimiento que posee la </w:t>
      </w:r>
      <w:r w:rsidRPr="00332A67">
        <w:rPr>
          <w:color w:val="000000"/>
          <w:lang w:eastAsia="es-ES_tradnl"/>
        </w:rPr>
        <w:lastRenderedPageBreak/>
        <w:t xml:space="preserve">comunidad de académicos en el nivel de posgrado, acerca de los indicadores de calidad para programas de posgrado escolarizado, como lo revelaron los resultados del estudio. </w:t>
      </w:r>
    </w:p>
    <w:p w14:paraId="14E14AAB" w14:textId="3EA33A1E" w:rsidR="00F81F45" w:rsidRDefault="00DF4F75" w:rsidP="002A06AE">
      <w:pPr>
        <w:spacing w:line="360" w:lineRule="auto"/>
        <w:ind w:firstLine="709"/>
        <w:jc w:val="both"/>
        <w:rPr>
          <w:color w:val="000000"/>
          <w:lang w:eastAsia="es-ES_tradnl"/>
        </w:rPr>
      </w:pPr>
      <w:r w:rsidRPr="00332A67">
        <w:rPr>
          <w:color w:val="000000"/>
          <w:lang w:eastAsia="es-ES_tradnl"/>
        </w:rPr>
        <w:t>Esta experiencia se puede capitalizar para orientar los esfuerzos hacia el diseño de nuevos programas de posgrado que estén bajo los estándares de calidad fijados a nivel nacional, y también lograr el registro de calidad en aquellos programas ya existentes en la facultad.</w:t>
      </w:r>
    </w:p>
    <w:p w14:paraId="16F9736F" w14:textId="77777777" w:rsidR="00BF54DA" w:rsidRPr="00826652" w:rsidRDefault="00BF54DA" w:rsidP="002A06AE">
      <w:pPr>
        <w:spacing w:line="360" w:lineRule="auto"/>
        <w:ind w:firstLine="709"/>
        <w:jc w:val="both"/>
        <w:rPr>
          <w:color w:val="000000"/>
          <w:lang w:eastAsia="es-ES_tradnl"/>
        </w:rPr>
      </w:pPr>
    </w:p>
    <w:p w14:paraId="77249EBB" w14:textId="15A3EC0C" w:rsidR="00DF4F75" w:rsidRPr="007B3952" w:rsidRDefault="00DF4F75" w:rsidP="007B3952">
      <w:pPr>
        <w:spacing w:line="360" w:lineRule="auto"/>
        <w:jc w:val="center"/>
        <w:rPr>
          <w:rFonts w:eastAsiaTheme="minorHAnsi"/>
          <w:b/>
          <w:bCs/>
          <w:color w:val="00B050"/>
          <w:sz w:val="26"/>
          <w:szCs w:val="26"/>
          <w:lang w:eastAsia="en-US"/>
        </w:rPr>
      </w:pPr>
      <w:r w:rsidRPr="007B3952">
        <w:rPr>
          <w:rFonts w:eastAsiaTheme="minorHAnsi"/>
          <w:b/>
          <w:bCs/>
          <w:sz w:val="26"/>
          <w:szCs w:val="26"/>
          <w:lang w:eastAsia="en-US"/>
        </w:rPr>
        <w:t>Modalidades no escolarizadas en los estudios de posgrado</w:t>
      </w:r>
    </w:p>
    <w:p w14:paraId="05FE4F92" w14:textId="3DDB7224" w:rsidR="00DF4F75" w:rsidRPr="00332A67" w:rsidRDefault="00826652" w:rsidP="007B3952">
      <w:pPr>
        <w:spacing w:line="360" w:lineRule="auto"/>
        <w:ind w:firstLine="709"/>
        <w:jc w:val="both"/>
        <w:rPr>
          <w:color w:val="000000"/>
          <w:lang w:eastAsia="es-ES_tradnl"/>
        </w:rPr>
      </w:pPr>
      <w:r>
        <w:rPr>
          <w:color w:val="000000"/>
          <w:lang w:eastAsia="es-ES_tradnl"/>
        </w:rPr>
        <w:t>E</w:t>
      </w:r>
      <w:r w:rsidR="00DF4F75" w:rsidRPr="00332A67">
        <w:rPr>
          <w:color w:val="000000"/>
          <w:lang w:eastAsia="es-ES_tradnl"/>
        </w:rPr>
        <w:t xml:space="preserve">n el año 2019, 97 programas de estudios avanzados distribuidos en la siguiente forma 41 especialidades, 34 maestrías y 22 doctorados. Sólo el 1.03% de estos programas se señalan en la modalidad a distancia. De acuerdo a estas cifras, se cuenta con un área de oportunidad casi inexplorada para la </w:t>
      </w:r>
      <w:r>
        <w:rPr>
          <w:color w:val="000000"/>
          <w:lang w:eastAsia="es-ES_tradnl"/>
        </w:rPr>
        <w:t>Institución</w:t>
      </w:r>
      <w:r w:rsidR="00DF4F75" w:rsidRPr="00332A67">
        <w:rPr>
          <w:color w:val="000000"/>
          <w:lang w:eastAsia="es-ES_tradnl"/>
        </w:rPr>
        <w:t xml:space="preserve"> en relación a la oferta de estudios de posgrado en modalidades no escolarizadas.</w:t>
      </w:r>
    </w:p>
    <w:p w14:paraId="083F3DDA" w14:textId="34B3AB93" w:rsidR="00DF4F75" w:rsidRPr="00332A67" w:rsidRDefault="00826652" w:rsidP="007B3952">
      <w:pPr>
        <w:spacing w:line="360" w:lineRule="auto"/>
        <w:ind w:firstLine="709"/>
        <w:jc w:val="both"/>
        <w:rPr>
          <w:color w:val="000000"/>
          <w:lang w:eastAsia="es-ES_tradnl"/>
        </w:rPr>
      </w:pPr>
      <w:r>
        <w:rPr>
          <w:color w:val="000000"/>
          <w:lang w:eastAsia="es-ES_tradnl"/>
        </w:rPr>
        <w:t>Institucionalmente se cuenta con</w:t>
      </w:r>
      <w:r w:rsidR="00DF4F75" w:rsidRPr="00332A67">
        <w:rPr>
          <w:color w:val="000000"/>
          <w:lang w:eastAsia="es-ES_tradnl"/>
        </w:rPr>
        <w:t xml:space="preserve"> 85 programas de nivel licenciatura de modalidades mixta y a distancia</w:t>
      </w:r>
      <w:r>
        <w:rPr>
          <w:color w:val="000000"/>
          <w:lang w:eastAsia="es-ES_tradnl"/>
        </w:rPr>
        <w:t>. E</w:t>
      </w:r>
      <w:r w:rsidR="00DF4F75" w:rsidRPr="00332A67">
        <w:rPr>
          <w:color w:val="000000"/>
          <w:lang w:eastAsia="es-ES_tradnl"/>
        </w:rPr>
        <w:t>l conocimiento y experiencia que aportan estos programas de licenciatura puede orientar y contribuir al desarrollo de este tipo de modalidades en los programas de posgrado.</w:t>
      </w:r>
    </w:p>
    <w:p w14:paraId="6550CB9E" w14:textId="389C894E" w:rsidR="00DF4F75" w:rsidRPr="00332A67" w:rsidRDefault="00826652" w:rsidP="007B3952">
      <w:pPr>
        <w:spacing w:line="360" w:lineRule="auto"/>
        <w:ind w:firstLine="709"/>
        <w:jc w:val="both"/>
        <w:rPr>
          <w:color w:val="000000"/>
          <w:lang w:eastAsia="es-ES_tradnl"/>
        </w:rPr>
      </w:pPr>
      <w:r>
        <w:rPr>
          <w:color w:val="000000"/>
          <w:lang w:eastAsia="es-ES_tradnl"/>
        </w:rPr>
        <w:t xml:space="preserve">La Universidad </w:t>
      </w:r>
      <w:r w:rsidR="00DF4F75" w:rsidRPr="00332A67">
        <w:rPr>
          <w:color w:val="000000"/>
          <w:lang w:eastAsia="es-ES_tradnl"/>
        </w:rPr>
        <w:t>cuenta con una experiencia en programas de estudios a distancia que data del año 2007. Para el año 2020, el 54.85% de la matrícula de licenciatura se encontraba cursando sus estudios bajo las modalidades mixta y a distancia.</w:t>
      </w:r>
    </w:p>
    <w:p w14:paraId="363B7036" w14:textId="4F371F3D" w:rsidR="00DF4F75" w:rsidRDefault="00DF4F75" w:rsidP="007B3952">
      <w:pPr>
        <w:spacing w:line="360" w:lineRule="auto"/>
        <w:ind w:firstLine="709"/>
        <w:jc w:val="both"/>
        <w:rPr>
          <w:color w:val="000000"/>
          <w:lang w:eastAsia="es-ES_tradnl"/>
        </w:rPr>
      </w:pPr>
      <w:r w:rsidRPr="00332A67">
        <w:rPr>
          <w:color w:val="000000"/>
          <w:lang w:eastAsia="es-ES_tradnl"/>
        </w:rPr>
        <w:t xml:space="preserve">El camino transitado por la </w:t>
      </w:r>
      <w:r w:rsidR="00826652">
        <w:rPr>
          <w:color w:val="000000"/>
          <w:lang w:eastAsia="es-ES_tradnl"/>
        </w:rPr>
        <w:t>IES</w:t>
      </w:r>
      <w:r w:rsidRPr="00332A67">
        <w:rPr>
          <w:color w:val="000000"/>
          <w:lang w:eastAsia="es-ES_tradnl"/>
        </w:rPr>
        <w:t>, desde hace 14 años, en las modalidades no escolarizadas puede convertirse en el soporte para desarrollar planes y programas de estudios avanzados en estas modalidades.</w:t>
      </w:r>
    </w:p>
    <w:p w14:paraId="696E7F54" w14:textId="1CA66348" w:rsidR="00904E90" w:rsidRPr="00904E90" w:rsidRDefault="00904E90" w:rsidP="007B3952">
      <w:pPr>
        <w:spacing w:line="360" w:lineRule="auto"/>
        <w:ind w:firstLine="709"/>
        <w:jc w:val="both"/>
        <w:rPr>
          <w:color w:val="000000"/>
          <w:lang w:eastAsia="es-ES_tradnl"/>
        </w:rPr>
      </w:pPr>
      <w:r>
        <w:rPr>
          <w:color w:val="000000"/>
          <w:lang w:eastAsia="es-ES_tradnl"/>
        </w:rPr>
        <w:t xml:space="preserve">La modalidad de estudios de posgrado no escolarizado </w:t>
      </w:r>
      <w:r w:rsidRPr="00904E90">
        <w:rPr>
          <w:color w:val="000000"/>
          <w:lang w:eastAsia="es-ES_tradnl"/>
        </w:rPr>
        <w:t>pudiera ser atractivas para aquellas personas que tienen un compromiso laboral en alguna empresa, industria, administración pública o que radican en otra ciudad, y no pueden asistir presencialmente a tomar una clase. La oferta de programas de estudio de posgrado (especialidad, diplomados superiores, maestría y doctorado) en modalidades no escolarizadas es un área de oportunidad para la</w:t>
      </w:r>
      <w:r>
        <w:rPr>
          <w:color w:val="000000"/>
          <w:lang w:eastAsia="es-ES_tradnl"/>
        </w:rPr>
        <w:t xml:space="preserve"> Universidad y para la</w:t>
      </w:r>
      <w:r w:rsidR="00AE7DE6">
        <w:rPr>
          <w:color w:val="000000"/>
          <w:lang w:eastAsia="es-ES_tradnl"/>
        </w:rPr>
        <w:t xml:space="preserve"> IES</w:t>
      </w:r>
      <w:r>
        <w:rPr>
          <w:color w:val="000000"/>
          <w:lang w:eastAsia="es-ES_tradnl"/>
        </w:rPr>
        <w:t>.</w:t>
      </w:r>
    </w:p>
    <w:p w14:paraId="4F17B78B" w14:textId="77777777" w:rsidR="00904E90" w:rsidRPr="00904E90" w:rsidRDefault="00904E90" w:rsidP="007B3952">
      <w:pPr>
        <w:spacing w:line="360" w:lineRule="auto"/>
        <w:ind w:firstLine="709"/>
        <w:jc w:val="both"/>
        <w:rPr>
          <w:color w:val="000000"/>
          <w:lang w:eastAsia="es-ES_tradnl"/>
        </w:rPr>
      </w:pPr>
      <w:r w:rsidRPr="00904E90">
        <w:rPr>
          <w:color w:val="000000"/>
          <w:lang w:eastAsia="es-ES_tradnl"/>
        </w:rPr>
        <w:t>Durante este tiempo de contingencia sanitaria, en la mayoría de las instituciones educativas se han empleado plataformas y aplicaciones educativas para la impartición de las asignaturas, pero debe reconocerse que en muchos casos se ha conseguido solo “replicar” o “compartir” conocimientos sin alcanzar la interacción con los alumnos.</w:t>
      </w:r>
    </w:p>
    <w:p w14:paraId="323925A0" w14:textId="75551C9D" w:rsidR="00904E90" w:rsidRDefault="00904E90" w:rsidP="007B3952">
      <w:pPr>
        <w:spacing w:line="360" w:lineRule="auto"/>
        <w:ind w:firstLine="709"/>
        <w:jc w:val="both"/>
        <w:rPr>
          <w:color w:val="000000"/>
          <w:lang w:eastAsia="es-ES_tradnl"/>
        </w:rPr>
      </w:pPr>
      <w:r>
        <w:rPr>
          <w:color w:val="000000"/>
          <w:lang w:eastAsia="es-ES_tradnl"/>
        </w:rPr>
        <w:lastRenderedPageBreak/>
        <w:t>Es</w:t>
      </w:r>
      <w:r w:rsidRPr="00904E90">
        <w:rPr>
          <w:color w:val="000000"/>
          <w:lang w:eastAsia="es-ES_tradnl"/>
        </w:rPr>
        <w:t xml:space="preserve"> prioritario producir contenidos de aprendizaje que puedan emplearse de manera sincrónica y asincrónica </w:t>
      </w:r>
      <w:r>
        <w:rPr>
          <w:color w:val="000000"/>
          <w:lang w:eastAsia="es-ES_tradnl"/>
        </w:rPr>
        <w:t xml:space="preserve">para que el </w:t>
      </w:r>
      <w:r w:rsidRPr="00904E90">
        <w:rPr>
          <w:color w:val="000000"/>
          <w:lang w:eastAsia="es-ES_tradnl"/>
        </w:rPr>
        <w:t>estudiante tenga un rol de usuario consumidor y productor. Para lograrlo es necesario emplear variedad de materiales de apoyo, productos de aprendizaje, explorar otras tecnologías educativas y técnicas didácticas. Un diseño instruccional, guiones y materiales de calidad para la plataforma educativa pueden otorgarle un valor diferencial a una institución de educación con respecto a otras.</w:t>
      </w:r>
    </w:p>
    <w:p w14:paraId="1DE03784" w14:textId="4A561A76" w:rsidR="00904E90" w:rsidRPr="00904E90" w:rsidRDefault="00904E90" w:rsidP="007B3952">
      <w:pPr>
        <w:spacing w:line="360" w:lineRule="auto"/>
        <w:ind w:firstLine="709"/>
        <w:jc w:val="both"/>
        <w:rPr>
          <w:color w:val="000000"/>
          <w:lang w:eastAsia="es-ES_tradnl"/>
        </w:rPr>
      </w:pPr>
      <w:r w:rsidRPr="00904E90">
        <w:rPr>
          <w:color w:val="000000"/>
          <w:lang w:eastAsia="es-ES_tradnl"/>
        </w:rPr>
        <w:t xml:space="preserve">En la </w:t>
      </w:r>
      <w:r w:rsidR="00936359">
        <w:rPr>
          <w:color w:val="000000"/>
          <w:lang w:eastAsia="es-ES_tradnl"/>
        </w:rPr>
        <w:t>IES</w:t>
      </w:r>
      <w:r w:rsidR="00F8453B">
        <w:rPr>
          <w:color w:val="000000"/>
          <w:lang w:eastAsia="es-ES_tradnl"/>
        </w:rPr>
        <w:t xml:space="preserve"> observada</w:t>
      </w:r>
      <w:r w:rsidRPr="00904E90">
        <w:rPr>
          <w:color w:val="000000"/>
          <w:lang w:eastAsia="es-ES_tradnl"/>
        </w:rPr>
        <w:t xml:space="preserve"> </w:t>
      </w:r>
      <w:r>
        <w:rPr>
          <w:color w:val="000000"/>
          <w:lang w:eastAsia="es-ES_tradnl"/>
        </w:rPr>
        <w:t xml:space="preserve">se puede trabajar en </w:t>
      </w:r>
      <w:r w:rsidRPr="00904E90">
        <w:rPr>
          <w:color w:val="000000"/>
          <w:lang w:eastAsia="es-ES_tradnl"/>
        </w:rPr>
        <w:t>formar equipos de trabajo para combinar la experiencia que poseen los académicos de posgrado, en los aspectos evaluados por el PNPC, con la experiencia de los académicos en las modalidades no escolarizadas.</w:t>
      </w:r>
    </w:p>
    <w:p w14:paraId="34ABE0E9" w14:textId="2084A522" w:rsidR="00F81F45" w:rsidRDefault="00904E90" w:rsidP="00F81F45">
      <w:pPr>
        <w:spacing w:line="360" w:lineRule="auto"/>
        <w:ind w:firstLine="709"/>
        <w:jc w:val="both"/>
        <w:rPr>
          <w:color w:val="000000"/>
          <w:lang w:eastAsia="es-ES_tradnl"/>
        </w:rPr>
      </w:pPr>
      <w:r w:rsidRPr="00904E90">
        <w:rPr>
          <w:color w:val="000000"/>
          <w:lang w:eastAsia="es-ES_tradnl"/>
        </w:rPr>
        <w:t xml:space="preserve">Actualmente estamos enfrentando una realidad diferente a la que </w:t>
      </w:r>
      <w:r w:rsidR="00826652">
        <w:rPr>
          <w:color w:val="000000"/>
          <w:lang w:eastAsia="es-ES_tradnl"/>
        </w:rPr>
        <w:t>se</w:t>
      </w:r>
      <w:r w:rsidRPr="00904E90">
        <w:rPr>
          <w:color w:val="000000"/>
          <w:lang w:eastAsia="es-ES_tradnl"/>
        </w:rPr>
        <w:t xml:space="preserve"> acostumbra</w:t>
      </w:r>
      <w:r w:rsidR="00826652">
        <w:rPr>
          <w:color w:val="000000"/>
          <w:lang w:eastAsia="es-ES_tradnl"/>
        </w:rPr>
        <w:t>ba</w:t>
      </w:r>
      <w:r w:rsidRPr="00904E90">
        <w:rPr>
          <w:color w:val="000000"/>
          <w:lang w:eastAsia="es-ES_tradnl"/>
        </w:rPr>
        <w:t xml:space="preserve">, es necesario hacer los cambios que mejoren el proceso de enseñanza-aprendizaje </w:t>
      </w:r>
      <w:r w:rsidR="00406897">
        <w:rPr>
          <w:color w:val="000000"/>
          <w:lang w:eastAsia="es-ES_tradnl"/>
        </w:rPr>
        <w:t>para</w:t>
      </w:r>
      <w:r>
        <w:rPr>
          <w:color w:val="000000"/>
          <w:lang w:eastAsia="es-ES_tradnl"/>
        </w:rPr>
        <w:t xml:space="preserve"> </w:t>
      </w:r>
      <w:r w:rsidRPr="00904E90">
        <w:rPr>
          <w:color w:val="000000"/>
          <w:lang w:eastAsia="es-ES_tradnl"/>
        </w:rPr>
        <w:t xml:space="preserve">respuesta </w:t>
      </w:r>
      <w:r>
        <w:rPr>
          <w:color w:val="000000"/>
          <w:lang w:eastAsia="es-ES_tradnl"/>
        </w:rPr>
        <w:t>a la necesidad de atender la creciente de</w:t>
      </w:r>
      <w:r w:rsidRPr="00904E90">
        <w:rPr>
          <w:color w:val="000000"/>
          <w:lang w:eastAsia="es-ES_tradnl"/>
        </w:rPr>
        <w:t>manda de formación</w:t>
      </w:r>
      <w:r w:rsidR="00406897">
        <w:rPr>
          <w:color w:val="000000"/>
          <w:lang w:eastAsia="es-ES_tradnl"/>
        </w:rPr>
        <w:t xml:space="preserve">, actualización y </w:t>
      </w:r>
      <w:r w:rsidRPr="00904E90">
        <w:rPr>
          <w:color w:val="000000"/>
          <w:lang w:eastAsia="es-ES_tradnl"/>
        </w:rPr>
        <w:t>capacitación</w:t>
      </w:r>
      <w:r>
        <w:rPr>
          <w:color w:val="000000"/>
          <w:lang w:eastAsia="es-ES_tradnl"/>
        </w:rPr>
        <w:t xml:space="preserve"> profesional </w:t>
      </w:r>
      <w:r w:rsidR="00406897">
        <w:rPr>
          <w:color w:val="000000"/>
          <w:lang w:eastAsia="es-ES_tradnl"/>
        </w:rPr>
        <w:t>mediante una oferta educativa de calidad mediante la modalidad de estudios de posgrado no escolarizado.</w:t>
      </w:r>
    </w:p>
    <w:p w14:paraId="1BBFC9B8" w14:textId="77777777" w:rsidR="002A06AE" w:rsidRDefault="002A06AE" w:rsidP="00F81F45">
      <w:pPr>
        <w:spacing w:line="360" w:lineRule="auto"/>
        <w:ind w:firstLine="709"/>
        <w:jc w:val="both"/>
        <w:rPr>
          <w:color w:val="000000"/>
          <w:lang w:eastAsia="es-ES_tradnl"/>
        </w:rPr>
      </w:pPr>
    </w:p>
    <w:p w14:paraId="66E48FC0" w14:textId="755C8782" w:rsidR="005B456A" w:rsidRPr="007B3952" w:rsidRDefault="00332A67" w:rsidP="007B3952">
      <w:pPr>
        <w:autoSpaceDE w:val="0"/>
        <w:autoSpaceDN w:val="0"/>
        <w:adjustRightInd w:val="0"/>
        <w:spacing w:line="360" w:lineRule="auto"/>
        <w:jc w:val="center"/>
        <w:rPr>
          <w:b/>
          <w:color w:val="000000"/>
          <w:sz w:val="28"/>
          <w:szCs w:val="28"/>
        </w:rPr>
      </w:pPr>
      <w:r w:rsidRPr="007B3952">
        <w:rPr>
          <w:b/>
          <w:color w:val="000000"/>
          <w:sz w:val="28"/>
          <w:szCs w:val="28"/>
        </w:rPr>
        <w:t>Futuras Líneas de Investigación</w:t>
      </w:r>
    </w:p>
    <w:p w14:paraId="40C697FA" w14:textId="77777777" w:rsidR="00DF4F75" w:rsidRPr="00904E90" w:rsidRDefault="00DF4F75" w:rsidP="007B3952">
      <w:pPr>
        <w:spacing w:line="360" w:lineRule="auto"/>
        <w:ind w:firstLine="709"/>
        <w:jc w:val="both"/>
        <w:rPr>
          <w:color w:val="000000"/>
          <w:lang w:eastAsia="es-ES_tradnl"/>
        </w:rPr>
      </w:pPr>
      <w:r>
        <w:rPr>
          <w:color w:val="000000"/>
          <w:lang w:eastAsia="es-ES_tradnl"/>
        </w:rPr>
        <w:t xml:space="preserve">La modalidad de estudios de posgrado no escolarizado </w:t>
      </w:r>
      <w:r w:rsidRPr="00904E90">
        <w:rPr>
          <w:color w:val="000000"/>
          <w:lang w:eastAsia="es-ES_tradnl"/>
        </w:rPr>
        <w:t>pudiera ser atractivas para aquellas personas que tienen un compromiso laboral en alguna empresa, industria, administración pública o que radican en otra ciudad, y no pueden asistir presencialmente a tomar una clase. La oferta de programas de estudio de posgrado (especialidad, diplomados superiores, maestría y doctorado) en modalidades no escolarizadas es un área de oportunidad para la</w:t>
      </w:r>
      <w:r>
        <w:rPr>
          <w:color w:val="000000"/>
          <w:lang w:eastAsia="es-ES_tradnl"/>
        </w:rPr>
        <w:t xml:space="preserve"> Universidad y para la IES.</w:t>
      </w:r>
    </w:p>
    <w:p w14:paraId="1DC12B83" w14:textId="77777777" w:rsidR="00DF4F75" w:rsidRPr="00904E90" w:rsidRDefault="00DF4F75" w:rsidP="007B3952">
      <w:pPr>
        <w:spacing w:line="360" w:lineRule="auto"/>
        <w:ind w:firstLine="709"/>
        <w:jc w:val="both"/>
        <w:rPr>
          <w:color w:val="000000"/>
          <w:lang w:eastAsia="es-ES_tradnl"/>
        </w:rPr>
      </w:pPr>
      <w:r w:rsidRPr="00904E90">
        <w:rPr>
          <w:color w:val="000000"/>
          <w:lang w:eastAsia="es-ES_tradnl"/>
        </w:rPr>
        <w:t>Durante este tiempo de contingencia sanitaria, en la mayoría de las instituciones educativas se han empleado plataformas y aplicaciones educativas para la impartición de las asignaturas, pero debe reconocerse que en muchos casos se ha conseguido solo “replicar” o “compartir” conocimientos sin alcanzar la interacción con los alumnos.</w:t>
      </w:r>
    </w:p>
    <w:p w14:paraId="16AF0454" w14:textId="77777777" w:rsidR="00DF4F75" w:rsidRDefault="00DF4F75" w:rsidP="007B3952">
      <w:pPr>
        <w:spacing w:line="360" w:lineRule="auto"/>
        <w:ind w:firstLine="709"/>
        <w:jc w:val="both"/>
        <w:rPr>
          <w:color w:val="000000"/>
          <w:lang w:eastAsia="es-ES_tradnl"/>
        </w:rPr>
      </w:pPr>
      <w:r>
        <w:rPr>
          <w:color w:val="000000"/>
          <w:lang w:eastAsia="es-ES_tradnl"/>
        </w:rPr>
        <w:t>Es</w:t>
      </w:r>
      <w:r w:rsidRPr="00904E90">
        <w:rPr>
          <w:color w:val="000000"/>
          <w:lang w:eastAsia="es-ES_tradnl"/>
        </w:rPr>
        <w:t xml:space="preserve"> prioritario producir contenidos de aprendizaje que puedan emplearse de manera sincrónica y asincrónica </w:t>
      </w:r>
      <w:r>
        <w:rPr>
          <w:color w:val="000000"/>
          <w:lang w:eastAsia="es-ES_tradnl"/>
        </w:rPr>
        <w:t xml:space="preserve">para que el </w:t>
      </w:r>
      <w:r w:rsidRPr="00904E90">
        <w:rPr>
          <w:color w:val="000000"/>
          <w:lang w:eastAsia="es-ES_tradnl"/>
        </w:rPr>
        <w:t>estudiante tenga un rol de usuario consumidor y productor. Para lograrlo es necesario emplear variedad de materiales de apoyo, productos de aprendizaje, explorar otras tecnologías educativas y técnicas didácticas. Un diseño instruccional, guiones y materiales de calidad para la plataforma educativa pueden otorgarle un valor diferencial a una institución de educación con respecto a otras.</w:t>
      </w:r>
    </w:p>
    <w:p w14:paraId="5345C5C8" w14:textId="77777777" w:rsidR="00DF4F75" w:rsidRPr="00904E90" w:rsidRDefault="00DF4F75" w:rsidP="007B3952">
      <w:pPr>
        <w:spacing w:line="360" w:lineRule="auto"/>
        <w:ind w:firstLine="709"/>
        <w:jc w:val="both"/>
        <w:rPr>
          <w:color w:val="000000"/>
          <w:lang w:eastAsia="es-ES_tradnl"/>
        </w:rPr>
      </w:pPr>
      <w:r w:rsidRPr="00904E90">
        <w:rPr>
          <w:color w:val="000000"/>
          <w:lang w:eastAsia="es-ES_tradnl"/>
        </w:rPr>
        <w:lastRenderedPageBreak/>
        <w:t xml:space="preserve">En la </w:t>
      </w:r>
      <w:r>
        <w:rPr>
          <w:color w:val="000000"/>
          <w:lang w:eastAsia="es-ES_tradnl"/>
        </w:rPr>
        <w:t>IES observada</w:t>
      </w:r>
      <w:r w:rsidRPr="00904E90">
        <w:rPr>
          <w:color w:val="000000"/>
          <w:lang w:eastAsia="es-ES_tradnl"/>
        </w:rPr>
        <w:t xml:space="preserve"> </w:t>
      </w:r>
      <w:r>
        <w:rPr>
          <w:color w:val="000000"/>
          <w:lang w:eastAsia="es-ES_tradnl"/>
        </w:rPr>
        <w:t xml:space="preserve">se puede trabajar en </w:t>
      </w:r>
      <w:r w:rsidRPr="00904E90">
        <w:rPr>
          <w:color w:val="000000"/>
          <w:lang w:eastAsia="es-ES_tradnl"/>
        </w:rPr>
        <w:t>formar equipos de trabajo para combinar la experiencia que poseen los académicos de posgrado, en los aspectos evaluados por el PNPC, con la experiencia de los académicos en las modalidades no escolarizadas.</w:t>
      </w:r>
    </w:p>
    <w:p w14:paraId="0CCAB1D8" w14:textId="40274209" w:rsidR="00A301D6" w:rsidRPr="00332A67" w:rsidRDefault="00DF4F75" w:rsidP="007B3952">
      <w:pPr>
        <w:spacing w:line="360" w:lineRule="auto"/>
        <w:ind w:firstLine="709"/>
        <w:jc w:val="both"/>
        <w:rPr>
          <w:color w:val="000000"/>
          <w:lang w:eastAsia="es-ES_tradnl"/>
        </w:rPr>
      </w:pPr>
      <w:r w:rsidRPr="00904E90">
        <w:rPr>
          <w:color w:val="000000"/>
          <w:lang w:eastAsia="es-ES_tradnl"/>
        </w:rPr>
        <w:t xml:space="preserve">Actualmente </w:t>
      </w:r>
      <w:r w:rsidR="00826652">
        <w:rPr>
          <w:color w:val="000000"/>
          <w:lang w:eastAsia="es-ES_tradnl"/>
        </w:rPr>
        <w:t>se</w:t>
      </w:r>
      <w:r w:rsidRPr="00904E90">
        <w:rPr>
          <w:color w:val="000000"/>
          <w:lang w:eastAsia="es-ES_tradnl"/>
        </w:rPr>
        <w:t xml:space="preserve"> enfrenta</w:t>
      </w:r>
      <w:r w:rsidR="00826652">
        <w:rPr>
          <w:color w:val="000000"/>
          <w:lang w:eastAsia="es-ES_tradnl"/>
        </w:rPr>
        <w:t xml:space="preserve"> </w:t>
      </w:r>
      <w:r w:rsidRPr="00904E90">
        <w:rPr>
          <w:color w:val="000000"/>
          <w:lang w:eastAsia="es-ES_tradnl"/>
        </w:rPr>
        <w:t xml:space="preserve">una realidad diferente a la que estábamos acostumbrados, es necesario hacer los cambios que mejoren el proceso de enseñanza-aprendizaje </w:t>
      </w:r>
      <w:r>
        <w:rPr>
          <w:color w:val="000000"/>
          <w:lang w:eastAsia="es-ES_tradnl"/>
        </w:rPr>
        <w:t xml:space="preserve">para </w:t>
      </w:r>
      <w:r w:rsidRPr="00904E90">
        <w:rPr>
          <w:color w:val="000000"/>
          <w:lang w:eastAsia="es-ES_tradnl"/>
        </w:rPr>
        <w:t xml:space="preserve">respuesta </w:t>
      </w:r>
      <w:r>
        <w:rPr>
          <w:color w:val="000000"/>
          <w:lang w:eastAsia="es-ES_tradnl"/>
        </w:rPr>
        <w:t>a la necesidad de atender la creciente de</w:t>
      </w:r>
      <w:r w:rsidRPr="00904E90">
        <w:rPr>
          <w:color w:val="000000"/>
          <w:lang w:eastAsia="es-ES_tradnl"/>
        </w:rPr>
        <w:t>manda de formación</w:t>
      </w:r>
      <w:r>
        <w:rPr>
          <w:color w:val="000000"/>
          <w:lang w:eastAsia="es-ES_tradnl"/>
        </w:rPr>
        <w:t xml:space="preserve">, actualización y </w:t>
      </w:r>
      <w:r w:rsidRPr="00904E90">
        <w:rPr>
          <w:color w:val="000000"/>
          <w:lang w:eastAsia="es-ES_tradnl"/>
        </w:rPr>
        <w:t>capacitación</w:t>
      </w:r>
      <w:r>
        <w:rPr>
          <w:color w:val="000000"/>
          <w:lang w:eastAsia="es-ES_tradnl"/>
        </w:rPr>
        <w:t xml:space="preserve"> profesional mediante una oferta educativa de calidad mediante la modalidad de estudios de posgrado no escolarizado.</w:t>
      </w:r>
    </w:p>
    <w:p w14:paraId="2CE2366D" w14:textId="77777777" w:rsidR="007B3952" w:rsidRPr="007B3952" w:rsidRDefault="007B3952" w:rsidP="007B3952">
      <w:pPr>
        <w:autoSpaceDE w:val="0"/>
        <w:autoSpaceDN w:val="0"/>
        <w:adjustRightInd w:val="0"/>
        <w:spacing w:line="360" w:lineRule="auto"/>
        <w:rPr>
          <w:b/>
          <w:color w:val="000000"/>
        </w:rPr>
      </w:pPr>
    </w:p>
    <w:p w14:paraId="36D98377" w14:textId="4CA33983" w:rsidR="005B456A" w:rsidRPr="007B3952" w:rsidRDefault="005B456A" w:rsidP="007B3952">
      <w:pPr>
        <w:autoSpaceDE w:val="0"/>
        <w:autoSpaceDN w:val="0"/>
        <w:adjustRightInd w:val="0"/>
        <w:spacing w:line="480" w:lineRule="auto"/>
        <w:rPr>
          <w:rFonts w:asciiTheme="minorHAnsi" w:hAnsiTheme="minorHAnsi" w:cstheme="minorHAnsi"/>
          <w:b/>
          <w:color w:val="000000"/>
          <w:sz w:val="28"/>
          <w:szCs w:val="28"/>
        </w:rPr>
      </w:pPr>
      <w:r w:rsidRPr="007B3952">
        <w:rPr>
          <w:rFonts w:asciiTheme="minorHAnsi" w:hAnsiTheme="minorHAnsi" w:cstheme="minorHAnsi"/>
          <w:b/>
          <w:color w:val="000000"/>
          <w:sz w:val="28"/>
          <w:szCs w:val="28"/>
        </w:rPr>
        <w:t>Referencias</w:t>
      </w:r>
    </w:p>
    <w:p w14:paraId="5A2A8A03" w14:textId="576BD2A1" w:rsidR="00997638" w:rsidRPr="00997638" w:rsidRDefault="00997638" w:rsidP="007B3952">
      <w:pPr>
        <w:spacing w:line="360" w:lineRule="auto"/>
        <w:ind w:left="567" w:hanging="567"/>
        <w:jc w:val="both"/>
        <w:rPr>
          <w:lang w:eastAsia="es-ES_tradnl"/>
        </w:rPr>
      </w:pPr>
      <w:r w:rsidRPr="00997638">
        <w:rPr>
          <w:lang w:eastAsia="es-ES_tradnl"/>
        </w:rPr>
        <w:t xml:space="preserve">ANUIES (2020). México. Recuperado de </w:t>
      </w:r>
      <w:hyperlink r:id="rId12" w:history="1">
        <w:r w:rsidRPr="00997638">
          <w:rPr>
            <w:lang w:eastAsia="es-ES_tradnl"/>
          </w:rPr>
          <w:t>http://www.anuies.mx/</w:t>
        </w:r>
      </w:hyperlink>
    </w:p>
    <w:p w14:paraId="2CFD6F28" w14:textId="62E29ED4" w:rsidR="00997638" w:rsidRPr="00997638" w:rsidRDefault="00997638" w:rsidP="007B3952">
      <w:pPr>
        <w:spacing w:line="360" w:lineRule="auto"/>
        <w:ind w:left="567" w:hanging="567"/>
        <w:jc w:val="both"/>
        <w:rPr>
          <w:lang w:eastAsia="es-ES_tradnl"/>
        </w:rPr>
      </w:pPr>
      <w:r w:rsidRPr="00997638">
        <w:rPr>
          <w:lang w:eastAsia="es-ES_tradnl"/>
        </w:rPr>
        <w:t xml:space="preserve">ANUIES (2020). México. Recuperado de </w:t>
      </w:r>
      <w:hyperlink r:id="rId13" w:history="1">
        <w:r w:rsidRPr="00997638">
          <w:rPr>
            <w:lang w:eastAsia="es-ES_tradnl"/>
          </w:rPr>
          <w:t>https://anuies-tic.anuies.mx/web/</w:t>
        </w:r>
      </w:hyperlink>
    </w:p>
    <w:p w14:paraId="6296AF2A" w14:textId="04A0567E" w:rsidR="009A46EB" w:rsidRDefault="009A46EB" w:rsidP="007B3952">
      <w:pPr>
        <w:spacing w:line="360" w:lineRule="auto"/>
        <w:ind w:left="567" w:hanging="567"/>
        <w:jc w:val="both"/>
        <w:rPr>
          <w:lang w:eastAsia="es-ES_tradnl"/>
        </w:rPr>
      </w:pPr>
      <w:r w:rsidRPr="009A46EB">
        <w:rPr>
          <w:lang w:eastAsia="es-ES_tradnl"/>
        </w:rPr>
        <w:t xml:space="preserve">Barroso R., C. (2006). Acercamiento a las nuevas modalidades educativas en el Instituto Politécnico Nacional. Revista Innovación Educativa, 6, 5-16. </w:t>
      </w:r>
      <w:r>
        <w:rPr>
          <w:lang w:eastAsia="es-ES_tradnl"/>
        </w:rPr>
        <w:t xml:space="preserve">En </w:t>
      </w:r>
      <w:r w:rsidRPr="009A46EB">
        <w:rPr>
          <w:lang w:eastAsia="es-ES_tradnl"/>
        </w:rPr>
        <w:t xml:space="preserve"> </w:t>
      </w:r>
      <w:hyperlink r:id="rId14" w:anchor="read" w:history="1">
        <w:r w:rsidRPr="009A46EB">
          <w:rPr>
            <w:lang w:eastAsia="es-ES_tradnl"/>
          </w:rPr>
          <w:t>https://www.researchgate.net/publication/236678122_Acercamiento_a_las_Nuevas_Modalidades_Educativas_en_el_Instituto_Politecnico_Nacional#read</w:t>
        </w:r>
      </w:hyperlink>
      <w:r>
        <w:rPr>
          <w:lang w:eastAsia="es-ES_tradnl"/>
        </w:rPr>
        <w:t xml:space="preserve"> </w:t>
      </w:r>
    </w:p>
    <w:p w14:paraId="00AE376F" w14:textId="77777777" w:rsidR="00056C17" w:rsidRPr="00056C17" w:rsidRDefault="00056C17" w:rsidP="007B3952">
      <w:pPr>
        <w:spacing w:line="360" w:lineRule="auto"/>
        <w:ind w:left="567" w:hanging="567"/>
        <w:jc w:val="both"/>
        <w:rPr>
          <w:lang w:eastAsia="es-ES_tradnl"/>
        </w:rPr>
      </w:pPr>
      <w:r w:rsidRPr="00056C17">
        <w:rPr>
          <w:lang w:eastAsia="es-ES_tradnl"/>
        </w:rPr>
        <w:t xml:space="preserve">CISE [Centro de Investigaciones y Servicios Educativos]. (2016, Septiembre 19). Ventajas de la modalidad: Aprendizaje Combinado (Blended learning) [Archivo de video]. Recuperado de </w:t>
      </w:r>
      <w:hyperlink r:id="rId15" w:history="1">
        <w:r w:rsidRPr="00056C17">
          <w:rPr>
            <w:lang w:eastAsia="es-ES_tradnl"/>
          </w:rPr>
          <w:t>https://www.youtube.com/watch?v=JbZhW7coXHk</w:t>
        </w:r>
      </w:hyperlink>
    </w:p>
    <w:p w14:paraId="417BE0DE" w14:textId="26960233" w:rsidR="00997638" w:rsidRPr="00997638" w:rsidRDefault="00997638" w:rsidP="007B3952">
      <w:pPr>
        <w:spacing w:line="360" w:lineRule="auto"/>
        <w:ind w:left="567" w:hanging="567"/>
        <w:jc w:val="both"/>
        <w:rPr>
          <w:lang w:eastAsia="es-ES_tradnl"/>
        </w:rPr>
      </w:pPr>
      <w:r w:rsidRPr="00997638">
        <w:rPr>
          <w:lang w:eastAsia="es-ES_tradnl"/>
        </w:rPr>
        <w:t xml:space="preserve">CONACyT (2019). México. Recuperado de </w:t>
      </w:r>
      <w:hyperlink r:id="rId16" w:history="1">
        <w:r w:rsidRPr="00997638">
          <w:rPr>
            <w:lang w:eastAsia="es-ES_tradnl"/>
          </w:rPr>
          <w:t>https://www.conacyt.gob.mx/</w:t>
        </w:r>
      </w:hyperlink>
    </w:p>
    <w:p w14:paraId="486E7738" w14:textId="1D39C64C" w:rsidR="00997638" w:rsidRPr="00997638" w:rsidRDefault="00997638" w:rsidP="007B3952">
      <w:pPr>
        <w:spacing w:line="360" w:lineRule="auto"/>
        <w:ind w:left="567" w:hanging="567"/>
        <w:jc w:val="both"/>
        <w:rPr>
          <w:lang w:eastAsia="es-ES_tradnl"/>
        </w:rPr>
      </w:pPr>
      <w:r w:rsidRPr="00997638">
        <w:rPr>
          <w:lang w:eastAsia="es-ES_tradnl"/>
        </w:rPr>
        <w:t xml:space="preserve">CONACyT y Subsecretaría de Educación Superior. (s.f.). Instrumento para la evaluación de seguimiento del PNPC Posgrados No Escolarizados. México. Recuperado de </w:t>
      </w:r>
      <w:hyperlink r:id="rId17" w:history="1">
        <w:r w:rsidRPr="00997638">
          <w:rPr>
            <w:lang w:eastAsia="es-ES_tradnl"/>
          </w:rPr>
          <w:t>https://www.conacyt.gob.mx/index.php/el-conacyt/convocatorias-y-resultados-conacyt/convocatorias-pnpc/documentos/19469-instrumento-para-la-evaluacion-de-seguimiento-del-pnpc-posgrados-no-escolarizados/file</w:t>
        </w:r>
      </w:hyperlink>
    </w:p>
    <w:p w14:paraId="50E07FA0" w14:textId="590CF6F1" w:rsidR="00997638" w:rsidRPr="00997638" w:rsidRDefault="00997638" w:rsidP="007B3952">
      <w:pPr>
        <w:spacing w:line="360" w:lineRule="auto"/>
        <w:ind w:left="567" w:hanging="567"/>
        <w:jc w:val="both"/>
        <w:rPr>
          <w:lang w:eastAsia="es-ES_tradnl"/>
        </w:rPr>
      </w:pPr>
      <w:r w:rsidRPr="00997638">
        <w:rPr>
          <w:lang w:eastAsia="es-ES_tradnl"/>
        </w:rPr>
        <w:t xml:space="preserve">CONACyT y Subsecretaría de Educación Superior. (2014). Documentos del PNPC. Fundamentos sobre calidad Educativa en la Modalidad No Escolarizada. México. Recuperado de </w:t>
      </w:r>
      <w:hyperlink r:id="rId18" w:history="1">
        <w:r w:rsidRPr="00997638">
          <w:rPr>
            <w:lang w:eastAsia="es-ES_tradnl"/>
          </w:rPr>
          <w:t>https://www.conacyt.gob.mx/index.php/el-conacyt/convocatorias-y-resultados-conacyt/convocatorias-pnpc/documentos/924-fundamentos-sobre-la-calidad-educativa-modalidad-no-escolarizada/file</w:t>
        </w:r>
      </w:hyperlink>
    </w:p>
    <w:p w14:paraId="4F8D06A0" w14:textId="4691780D" w:rsidR="00997638" w:rsidRPr="00997638" w:rsidRDefault="00997638" w:rsidP="007B3952">
      <w:pPr>
        <w:spacing w:line="360" w:lineRule="auto"/>
        <w:ind w:left="567" w:hanging="567"/>
        <w:jc w:val="both"/>
        <w:rPr>
          <w:lang w:eastAsia="es-ES_tradnl"/>
        </w:rPr>
      </w:pPr>
      <w:bookmarkStart w:id="2" w:name="_Hlk45035477"/>
      <w:r w:rsidRPr="00997638">
        <w:rPr>
          <w:lang w:eastAsia="es-ES_tradnl"/>
        </w:rPr>
        <w:t xml:space="preserve">CONACyT y Subsecretaría de Educación Superior. (2020). Marco de referencia para la Evaluación y Seguimiento de Programas de Nuevo Ingreso Modalidad Escolarizada. México. Recuperado de </w:t>
      </w:r>
      <w:hyperlink r:id="rId19" w:history="1">
        <w:r w:rsidRPr="00997638">
          <w:rPr>
            <w:lang w:eastAsia="es-ES_tradnl"/>
          </w:rPr>
          <w:t>https://www.conacyt.gob.mx/index.php/sni/convocatorias-</w:t>
        </w:r>
        <w:r w:rsidRPr="00997638">
          <w:rPr>
            <w:lang w:eastAsia="es-ES_tradnl"/>
          </w:rPr>
          <w:lastRenderedPageBreak/>
          <w:t>conacyt/convocatorias-pnpc/marcos-de-referencia-pnpc/19842-marco-referencia-evaluacion-programas-nuevo-ingre/file</w:t>
        </w:r>
      </w:hyperlink>
    </w:p>
    <w:p w14:paraId="7043F85F" w14:textId="7A85185B" w:rsidR="00997638" w:rsidRPr="00997638" w:rsidRDefault="00997638" w:rsidP="007B3952">
      <w:pPr>
        <w:spacing w:line="360" w:lineRule="auto"/>
        <w:ind w:left="567" w:hanging="567"/>
        <w:jc w:val="both"/>
        <w:rPr>
          <w:lang w:eastAsia="es-ES_tradnl"/>
        </w:rPr>
      </w:pPr>
      <w:r w:rsidRPr="00997638">
        <w:rPr>
          <w:lang w:eastAsia="es-ES_tradnl"/>
        </w:rPr>
        <w:t>CONACyT y Subsecretaría de Educación Superior. (2020)</w:t>
      </w:r>
      <w:bookmarkEnd w:id="2"/>
      <w:r w:rsidRPr="00997638">
        <w:rPr>
          <w:lang w:eastAsia="es-ES_tradnl"/>
        </w:rPr>
        <w:t xml:space="preserve">. Marco de referencia para la Evaluación y Seguimiento de Programas de Posgrados Presenciales. México. Recuperado de </w:t>
      </w:r>
      <w:hyperlink r:id="rId20" w:history="1">
        <w:r w:rsidRPr="00997638">
          <w:rPr>
            <w:lang w:eastAsia="es-ES_tradnl"/>
          </w:rPr>
          <w:t>https://www.conacyt.gob.mx/index.php/el-conacyt/convocatorias-y-resultados-conacyt/convocatorias-pnpc/marcos-de-referencia-pnpc/19999-mrr-pnpc-2020/file</w:t>
        </w:r>
      </w:hyperlink>
    </w:p>
    <w:p w14:paraId="4390D489" w14:textId="1660653C" w:rsidR="00997638" w:rsidRPr="00997638" w:rsidRDefault="00997638" w:rsidP="007B3952">
      <w:pPr>
        <w:spacing w:line="360" w:lineRule="auto"/>
        <w:ind w:left="567" w:hanging="567"/>
        <w:jc w:val="both"/>
        <w:rPr>
          <w:lang w:eastAsia="es-ES_tradnl"/>
        </w:rPr>
      </w:pPr>
      <w:r w:rsidRPr="00997638">
        <w:rPr>
          <w:lang w:eastAsia="es-ES_tradnl"/>
        </w:rPr>
        <w:t xml:space="preserve">García, E. (2009). Aprendizaje y construcción del conocimiento. Las plataformas de aprendizaje. Del mito a la realidad. 21-44. Recuperado de </w:t>
      </w:r>
      <w:hyperlink r:id="rId21" w:history="1">
        <w:r w:rsidRPr="00997638">
          <w:rPr>
            <w:lang w:eastAsia="es-ES_tradnl"/>
          </w:rPr>
          <w:t>https://eprints.ucm.es/9973/1/APRENDIZAJE__Y_CONSTRUCCION_DEL_CONOCIMIENTO.pdf</w:t>
        </w:r>
      </w:hyperlink>
    </w:p>
    <w:p w14:paraId="45F4F570" w14:textId="295F7795" w:rsidR="00997638" w:rsidRPr="00997638" w:rsidRDefault="00997638" w:rsidP="007B3952">
      <w:pPr>
        <w:spacing w:line="360" w:lineRule="auto"/>
        <w:ind w:left="567" w:hanging="567"/>
        <w:jc w:val="both"/>
        <w:rPr>
          <w:lang w:eastAsia="es-ES_tradnl"/>
        </w:rPr>
      </w:pPr>
      <w:r w:rsidRPr="00997638">
        <w:rPr>
          <w:lang w:eastAsia="es-ES_tradnl"/>
        </w:rPr>
        <w:t>Hernández S., R., Fernández C., C. y Baptista L., P. (2014). Metodología de la Investigación. México: McGraw Hill</w:t>
      </w:r>
    </w:p>
    <w:p w14:paraId="6B7AA97A" w14:textId="3A4D2D0B" w:rsidR="00A301D6" w:rsidRPr="009A46EB" w:rsidRDefault="009A46EB" w:rsidP="005E18D8">
      <w:pPr>
        <w:spacing w:line="360" w:lineRule="auto"/>
        <w:ind w:left="567" w:hanging="567"/>
        <w:jc w:val="both"/>
        <w:rPr>
          <w:lang w:eastAsia="es-ES_tradnl"/>
        </w:rPr>
      </w:pPr>
      <w:proofErr w:type="spellStart"/>
      <w:r w:rsidRPr="00F41D3E">
        <w:rPr>
          <w:lang w:val="en-US" w:eastAsia="es-ES_tradnl"/>
        </w:rPr>
        <w:t>Ósmosis</w:t>
      </w:r>
      <w:proofErr w:type="spellEnd"/>
      <w:r w:rsidRPr="00F41D3E">
        <w:rPr>
          <w:lang w:val="en-US" w:eastAsia="es-ES_tradnl"/>
        </w:rPr>
        <w:t xml:space="preserve"> [</w:t>
      </w:r>
      <w:proofErr w:type="spellStart"/>
      <w:r w:rsidRPr="00F41D3E">
        <w:rPr>
          <w:lang w:val="en-US" w:eastAsia="es-ES_tradnl"/>
        </w:rPr>
        <w:t>Ósmosis</w:t>
      </w:r>
      <w:proofErr w:type="spellEnd"/>
      <w:r w:rsidRPr="00F41D3E">
        <w:rPr>
          <w:lang w:val="en-US" w:eastAsia="es-ES_tradnl"/>
        </w:rPr>
        <w:t xml:space="preserve">]. (2017, </w:t>
      </w:r>
      <w:proofErr w:type="spellStart"/>
      <w:r w:rsidRPr="00F41D3E">
        <w:rPr>
          <w:lang w:val="en-US" w:eastAsia="es-ES_tradnl"/>
        </w:rPr>
        <w:t>Enero</w:t>
      </w:r>
      <w:proofErr w:type="spellEnd"/>
      <w:r w:rsidRPr="00F41D3E">
        <w:rPr>
          <w:lang w:val="en-US" w:eastAsia="es-ES_tradnl"/>
        </w:rPr>
        <w:t xml:space="preserve"> 9). Blended learning &amp; flipped classroom [</w:t>
      </w:r>
      <w:proofErr w:type="spellStart"/>
      <w:r w:rsidRPr="00F41D3E">
        <w:rPr>
          <w:lang w:val="en-US" w:eastAsia="es-ES_tradnl"/>
        </w:rPr>
        <w:t>Archivo</w:t>
      </w:r>
      <w:proofErr w:type="spellEnd"/>
      <w:r w:rsidRPr="00F41D3E">
        <w:rPr>
          <w:lang w:val="en-US" w:eastAsia="es-ES_tradnl"/>
        </w:rPr>
        <w:t xml:space="preserve"> de video]. </w:t>
      </w:r>
      <w:r>
        <w:rPr>
          <w:lang w:eastAsia="es-ES_tradnl"/>
        </w:rPr>
        <w:t>En</w:t>
      </w:r>
      <w:r w:rsidRPr="009A46EB">
        <w:rPr>
          <w:lang w:eastAsia="es-ES_tradnl"/>
        </w:rPr>
        <w:t xml:space="preserve"> </w:t>
      </w:r>
      <w:hyperlink r:id="rId22" w:history="1">
        <w:r w:rsidRPr="009A46EB">
          <w:rPr>
            <w:lang w:eastAsia="es-ES_tradnl"/>
          </w:rPr>
          <w:t>https://www.youtube.com/watch?v=paQCE58334M</w:t>
        </w:r>
      </w:hyperlink>
    </w:p>
    <w:p w14:paraId="5A4F81E5" w14:textId="2D40DD97" w:rsidR="00997638" w:rsidRPr="00997638" w:rsidRDefault="00997638" w:rsidP="007B3952">
      <w:pPr>
        <w:spacing w:line="360" w:lineRule="auto"/>
        <w:ind w:left="567" w:hanging="567"/>
        <w:jc w:val="both"/>
        <w:rPr>
          <w:lang w:eastAsia="es-ES_tradnl"/>
        </w:rPr>
      </w:pPr>
      <w:r w:rsidRPr="00997638">
        <w:rPr>
          <w:lang w:eastAsia="es-ES_tradnl"/>
        </w:rPr>
        <w:t xml:space="preserve">Ponce, J. L. (coord.) (2019). Estado actual de las Tecnologías de la Información y la Comunicación en las Instituciones de Educación Superior de México: Estudio 2019. México: ANUIES. Recuperado de </w:t>
      </w:r>
      <w:hyperlink r:id="rId23" w:history="1">
        <w:r w:rsidRPr="00997638">
          <w:rPr>
            <w:lang w:eastAsia="es-ES_tradnl"/>
          </w:rPr>
          <w:t>http://estudio-tic.anuies.mx/</w:t>
        </w:r>
      </w:hyperlink>
    </w:p>
    <w:p w14:paraId="37371C30" w14:textId="0791089C" w:rsidR="00997638" w:rsidRPr="00997638" w:rsidRDefault="00997638" w:rsidP="007B3952">
      <w:pPr>
        <w:spacing w:line="360" w:lineRule="auto"/>
        <w:ind w:left="567" w:hanging="567"/>
        <w:jc w:val="both"/>
        <w:rPr>
          <w:lang w:eastAsia="es-ES_tradnl"/>
        </w:rPr>
      </w:pPr>
      <w:r w:rsidRPr="00997638">
        <w:rPr>
          <w:lang w:eastAsia="es-ES_tradnl"/>
        </w:rPr>
        <w:t xml:space="preserve">Romero R., A., Vázquez P., M.L., Baltazar J., N., García P., M., Sandoval A., R. y López B., F. (2014). Modelo pedagógico para el asesoramiento académico en entornos virtuales de enseñanza y aprendizaje de la Universidad Autónoma del Estado de México. Apertura, 6(2),1-15. ISSN: 1665-6180. Recuperado de:   </w:t>
      </w:r>
      <w:hyperlink r:id="rId24" w:history="1">
        <w:r w:rsidRPr="00997638">
          <w:rPr>
            <w:lang w:eastAsia="es-ES_tradnl"/>
          </w:rPr>
          <w:t>https://www.redalyc.org/articulo.oa?id=68835725002</w:t>
        </w:r>
      </w:hyperlink>
    </w:p>
    <w:p w14:paraId="04D3F2DB" w14:textId="0FB8CED0" w:rsidR="00056C17" w:rsidRDefault="00056C17" w:rsidP="007B3952">
      <w:pPr>
        <w:spacing w:line="360" w:lineRule="auto"/>
        <w:ind w:left="567" w:hanging="567"/>
        <w:jc w:val="both"/>
        <w:rPr>
          <w:lang w:eastAsia="es-ES_tradnl"/>
        </w:rPr>
      </w:pPr>
      <w:r w:rsidRPr="00056C17">
        <w:rPr>
          <w:lang w:eastAsia="es-ES_tradnl"/>
        </w:rPr>
        <w:t xml:space="preserve">UDECUCEA [UDECUCEA]. (2012, Julio 6). Diferencias entre educación presencial y educación a distancia [Archivo de video]. Recuperado de </w:t>
      </w:r>
      <w:hyperlink r:id="rId25" w:history="1">
        <w:r w:rsidRPr="00056C17">
          <w:rPr>
            <w:lang w:eastAsia="es-ES_tradnl"/>
          </w:rPr>
          <w:t>https://www.youtube.com/watch?v=Hks14yXaQYo</w:t>
        </w:r>
      </w:hyperlink>
    </w:p>
    <w:p w14:paraId="65C390C6" w14:textId="7ACE1754" w:rsidR="00C8572B" w:rsidRDefault="00997638" w:rsidP="00020E9E">
      <w:pPr>
        <w:spacing w:line="360" w:lineRule="auto"/>
        <w:ind w:left="567" w:hanging="567"/>
        <w:jc w:val="both"/>
        <w:rPr>
          <w:lang w:eastAsia="es-ES_tradnl"/>
        </w:rPr>
      </w:pPr>
      <w:r w:rsidRPr="00997638">
        <w:rPr>
          <w:lang w:eastAsia="es-ES_tradnl"/>
        </w:rPr>
        <w:t xml:space="preserve">Vargas C., Z. (2009). La investigación aplicada: una forma de conocer las realidades con evidencia científica. Revista Educación. 33(1), 155-165. Recuperado de </w:t>
      </w:r>
      <w:hyperlink r:id="rId26" w:history="1">
        <w:r w:rsidRPr="00997638">
          <w:rPr>
            <w:lang w:eastAsia="es-ES_tradnl"/>
          </w:rPr>
          <w:t>https://www.redalyc.org/pdf/440/44015082010.pdf</w:t>
        </w:r>
      </w:hyperlink>
    </w:p>
    <w:p w14:paraId="4F61DF96" w14:textId="78CB50E2" w:rsidR="00BF54DA" w:rsidRDefault="00BF54DA" w:rsidP="00020E9E">
      <w:pPr>
        <w:spacing w:line="360" w:lineRule="auto"/>
        <w:ind w:left="567" w:hanging="567"/>
        <w:jc w:val="both"/>
        <w:rPr>
          <w:lang w:eastAsia="es-ES_tradnl"/>
        </w:rPr>
      </w:pPr>
    </w:p>
    <w:p w14:paraId="2AEAF4AD" w14:textId="12B94D05" w:rsidR="00BF54DA" w:rsidRDefault="00BF54DA" w:rsidP="00020E9E">
      <w:pPr>
        <w:spacing w:line="360" w:lineRule="auto"/>
        <w:ind w:left="567" w:hanging="567"/>
        <w:jc w:val="both"/>
        <w:rPr>
          <w:lang w:eastAsia="es-ES_tradnl"/>
        </w:rPr>
      </w:pPr>
    </w:p>
    <w:p w14:paraId="69CC66D2" w14:textId="6191745B" w:rsidR="00BF54DA" w:rsidRDefault="00BF54DA" w:rsidP="00020E9E">
      <w:pPr>
        <w:spacing w:line="360" w:lineRule="auto"/>
        <w:ind w:left="567" w:hanging="567"/>
        <w:jc w:val="both"/>
        <w:rPr>
          <w:lang w:eastAsia="es-ES_tradnl"/>
        </w:rPr>
      </w:pPr>
    </w:p>
    <w:p w14:paraId="2429C0BF" w14:textId="77777777" w:rsidR="00BF54DA" w:rsidRDefault="00BF54DA" w:rsidP="00020E9E">
      <w:pPr>
        <w:spacing w:line="360" w:lineRule="auto"/>
        <w:ind w:left="567" w:hanging="567"/>
        <w:jc w:val="both"/>
        <w:rPr>
          <w:lang w:eastAsia="es-ES_tradnl"/>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8572B" w:rsidRPr="00C8572B" w14:paraId="7A27C1DF" w14:textId="77777777" w:rsidTr="00254BAB">
        <w:tc>
          <w:tcPr>
            <w:tcW w:w="3045" w:type="dxa"/>
            <w:shd w:val="clear" w:color="auto" w:fill="auto"/>
            <w:tcMar>
              <w:top w:w="100" w:type="dxa"/>
              <w:left w:w="100" w:type="dxa"/>
              <w:bottom w:w="100" w:type="dxa"/>
              <w:right w:w="100" w:type="dxa"/>
            </w:tcMar>
          </w:tcPr>
          <w:p w14:paraId="5C130AC0" w14:textId="77777777" w:rsidR="00734A1C" w:rsidRPr="00C8572B" w:rsidRDefault="00734A1C" w:rsidP="00254BAB">
            <w:pPr>
              <w:pStyle w:val="Ttulo3"/>
              <w:widowControl w:val="0"/>
              <w:spacing w:before="0"/>
              <w:rPr>
                <w:rFonts w:ascii="Times New Roman" w:hAnsi="Times New Roman" w:cs="Times New Roman"/>
                <w:color w:val="000000" w:themeColor="text1"/>
              </w:rPr>
            </w:pPr>
            <w:bookmarkStart w:id="3" w:name="_bkwyjpjjzcq0" w:colFirst="0" w:colLast="0"/>
            <w:bookmarkEnd w:id="3"/>
            <w:r w:rsidRPr="00C8572B">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61905C09" w14:textId="57D10A60" w:rsidR="00734A1C" w:rsidRPr="00C8572B" w:rsidRDefault="00C8572B" w:rsidP="00254BAB">
            <w:pPr>
              <w:pStyle w:val="Ttulo3"/>
              <w:widowControl w:val="0"/>
              <w:spacing w:before="0"/>
              <w:rPr>
                <w:rFonts w:ascii="Times New Roman" w:hAnsi="Times New Roman" w:cs="Times New Roman"/>
                <w:color w:val="000000" w:themeColor="text1"/>
              </w:rPr>
            </w:pPr>
            <w:bookmarkStart w:id="4" w:name="_btsjgdfgjwkr" w:colFirst="0" w:colLast="0"/>
            <w:bookmarkEnd w:id="4"/>
            <w:r>
              <w:rPr>
                <w:rFonts w:ascii="Times New Roman" w:hAnsi="Times New Roman" w:cs="Times New Roman"/>
                <w:color w:val="000000" w:themeColor="text1"/>
              </w:rPr>
              <w:t>Autor (es)</w:t>
            </w:r>
          </w:p>
        </w:tc>
      </w:tr>
      <w:tr w:rsidR="00C8572B" w:rsidRPr="00C8572B" w14:paraId="1BAC54F9" w14:textId="77777777" w:rsidTr="00254BAB">
        <w:tc>
          <w:tcPr>
            <w:tcW w:w="3045" w:type="dxa"/>
            <w:shd w:val="clear" w:color="auto" w:fill="auto"/>
            <w:tcMar>
              <w:top w:w="100" w:type="dxa"/>
              <w:left w:w="100" w:type="dxa"/>
              <w:bottom w:w="100" w:type="dxa"/>
              <w:right w:w="100" w:type="dxa"/>
            </w:tcMar>
          </w:tcPr>
          <w:p w14:paraId="62458AD6" w14:textId="77777777" w:rsidR="00734A1C" w:rsidRPr="00C8572B" w:rsidRDefault="00734A1C" w:rsidP="00254BAB">
            <w:pPr>
              <w:widowControl w:val="0"/>
              <w:rPr>
                <w:color w:val="000000" w:themeColor="text1"/>
              </w:rPr>
            </w:pPr>
            <w:r w:rsidRPr="00C8572B">
              <w:rPr>
                <w:color w:val="000000" w:themeColor="text1"/>
              </w:rPr>
              <w:t>Conceptualización</w:t>
            </w:r>
          </w:p>
        </w:tc>
        <w:tc>
          <w:tcPr>
            <w:tcW w:w="6315" w:type="dxa"/>
            <w:shd w:val="clear" w:color="auto" w:fill="auto"/>
            <w:tcMar>
              <w:top w:w="100" w:type="dxa"/>
              <w:left w:w="100" w:type="dxa"/>
              <w:bottom w:w="100" w:type="dxa"/>
              <w:right w:w="100" w:type="dxa"/>
            </w:tcMar>
          </w:tcPr>
          <w:p w14:paraId="20EC1347" w14:textId="77777777" w:rsidR="00734A1C" w:rsidRPr="00C8572B" w:rsidRDefault="00734A1C" w:rsidP="00254BAB">
            <w:pPr>
              <w:widowControl w:val="0"/>
              <w:rPr>
                <w:color w:val="000000" w:themeColor="text1"/>
              </w:rPr>
            </w:pPr>
            <w:r w:rsidRPr="00C8572B">
              <w:rPr>
                <w:color w:val="000000" w:themeColor="text1"/>
              </w:rPr>
              <w:t>Magali Lecuona Patiño (Principal) Araceli Romero Romero (Igual) Alejandro Hernández Suárez (Apoyo)</w:t>
            </w:r>
          </w:p>
        </w:tc>
      </w:tr>
      <w:tr w:rsidR="00C8572B" w:rsidRPr="00C8572B" w14:paraId="67624862" w14:textId="77777777" w:rsidTr="00254BAB">
        <w:tc>
          <w:tcPr>
            <w:tcW w:w="3045" w:type="dxa"/>
            <w:shd w:val="clear" w:color="auto" w:fill="auto"/>
            <w:tcMar>
              <w:top w:w="100" w:type="dxa"/>
              <w:left w:w="100" w:type="dxa"/>
              <w:bottom w:w="100" w:type="dxa"/>
              <w:right w:w="100" w:type="dxa"/>
            </w:tcMar>
          </w:tcPr>
          <w:p w14:paraId="3D44A78E" w14:textId="77777777" w:rsidR="00734A1C" w:rsidRPr="00C8572B" w:rsidRDefault="00734A1C" w:rsidP="00254BAB">
            <w:pPr>
              <w:widowControl w:val="0"/>
              <w:rPr>
                <w:color w:val="000000" w:themeColor="text1"/>
              </w:rPr>
            </w:pPr>
            <w:r w:rsidRPr="00C8572B">
              <w:rPr>
                <w:color w:val="000000" w:themeColor="text1"/>
              </w:rPr>
              <w:t>Metodología</w:t>
            </w:r>
          </w:p>
        </w:tc>
        <w:tc>
          <w:tcPr>
            <w:tcW w:w="6315" w:type="dxa"/>
            <w:shd w:val="clear" w:color="auto" w:fill="auto"/>
            <w:tcMar>
              <w:top w:w="100" w:type="dxa"/>
              <w:left w:w="100" w:type="dxa"/>
              <w:bottom w:w="100" w:type="dxa"/>
              <w:right w:w="100" w:type="dxa"/>
            </w:tcMar>
          </w:tcPr>
          <w:p w14:paraId="0DDCB6ED" w14:textId="77777777" w:rsidR="00734A1C" w:rsidRPr="00C8572B" w:rsidRDefault="00734A1C" w:rsidP="00254BAB">
            <w:pPr>
              <w:widowControl w:val="0"/>
              <w:rPr>
                <w:color w:val="000000" w:themeColor="text1"/>
              </w:rPr>
            </w:pPr>
            <w:r w:rsidRPr="00C8572B">
              <w:rPr>
                <w:color w:val="000000" w:themeColor="text1"/>
              </w:rPr>
              <w:t>Magali Lecuona Patiño (Principal) Araceli Romero Romero (Igual) Alejandro Hernández Suárez (Apoyo)</w:t>
            </w:r>
          </w:p>
        </w:tc>
      </w:tr>
      <w:tr w:rsidR="00C8572B" w:rsidRPr="00C8572B" w14:paraId="55A59BC9" w14:textId="77777777" w:rsidTr="00254BAB">
        <w:tc>
          <w:tcPr>
            <w:tcW w:w="3045" w:type="dxa"/>
            <w:shd w:val="clear" w:color="auto" w:fill="auto"/>
            <w:tcMar>
              <w:top w:w="100" w:type="dxa"/>
              <w:left w:w="100" w:type="dxa"/>
              <w:bottom w:w="100" w:type="dxa"/>
              <w:right w:w="100" w:type="dxa"/>
            </w:tcMar>
          </w:tcPr>
          <w:p w14:paraId="407FD0D6" w14:textId="77777777" w:rsidR="00734A1C" w:rsidRPr="00C8572B" w:rsidRDefault="00734A1C" w:rsidP="00254BAB">
            <w:pPr>
              <w:widowControl w:val="0"/>
              <w:rPr>
                <w:color w:val="000000" w:themeColor="text1"/>
              </w:rPr>
            </w:pPr>
            <w:r w:rsidRPr="00C8572B">
              <w:rPr>
                <w:color w:val="000000" w:themeColor="text1"/>
              </w:rPr>
              <w:t>Software</w:t>
            </w:r>
          </w:p>
        </w:tc>
        <w:tc>
          <w:tcPr>
            <w:tcW w:w="6315" w:type="dxa"/>
            <w:shd w:val="clear" w:color="auto" w:fill="auto"/>
            <w:tcMar>
              <w:top w:w="100" w:type="dxa"/>
              <w:left w:w="100" w:type="dxa"/>
              <w:bottom w:w="100" w:type="dxa"/>
              <w:right w:w="100" w:type="dxa"/>
            </w:tcMar>
          </w:tcPr>
          <w:p w14:paraId="027B778A" w14:textId="77777777" w:rsidR="00734A1C" w:rsidRPr="00C8572B" w:rsidRDefault="00734A1C" w:rsidP="00254BAB">
            <w:pPr>
              <w:widowControl w:val="0"/>
              <w:rPr>
                <w:color w:val="000000" w:themeColor="text1"/>
              </w:rPr>
            </w:pPr>
            <w:r w:rsidRPr="00C8572B">
              <w:rPr>
                <w:color w:val="000000" w:themeColor="text1"/>
              </w:rPr>
              <w:t>Magali Lecuona Patiño (Principal) Araceli Romero Romero (Apoyo) Alejandro Hernández Suárez (Apoyo)</w:t>
            </w:r>
          </w:p>
        </w:tc>
      </w:tr>
      <w:tr w:rsidR="00C8572B" w:rsidRPr="00C8572B" w14:paraId="288230B7" w14:textId="77777777" w:rsidTr="00254BAB">
        <w:tc>
          <w:tcPr>
            <w:tcW w:w="3045" w:type="dxa"/>
            <w:shd w:val="clear" w:color="auto" w:fill="auto"/>
            <w:tcMar>
              <w:top w:w="100" w:type="dxa"/>
              <w:left w:w="100" w:type="dxa"/>
              <w:bottom w:w="100" w:type="dxa"/>
              <w:right w:w="100" w:type="dxa"/>
            </w:tcMar>
          </w:tcPr>
          <w:p w14:paraId="4D563FC5" w14:textId="77777777" w:rsidR="00734A1C" w:rsidRPr="00C8572B" w:rsidRDefault="00734A1C" w:rsidP="00254BAB">
            <w:pPr>
              <w:widowControl w:val="0"/>
              <w:rPr>
                <w:color w:val="000000" w:themeColor="text1"/>
              </w:rPr>
            </w:pPr>
            <w:r w:rsidRPr="00C8572B">
              <w:rPr>
                <w:color w:val="000000" w:themeColor="text1"/>
              </w:rPr>
              <w:t>Validación</w:t>
            </w:r>
          </w:p>
        </w:tc>
        <w:tc>
          <w:tcPr>
            <w:tcW w:w="6315" w:type="dxa"/>
            <w:shd w:val="clear" w:color="auto" w:fill="auto"/>
            <w:tcMar>
              <w:top w:w="100" w:type="dxa"/>
              <w:left w:w="100" w:type="dxa"/>
              <w:bottom w:w="100" w:type="dxa"/>
              <w:right w:w="100" w:type="dxa"/>
            </w:tcMar>
          </w:tcPr>
          <w:p w14:paraId="00D93991" w14:textId="77777777" w:rsidR="00734A1C" w:rsidRPr="00C8572B" w:rsidRDefault="00734A1C" w:rsidP="00254BAB">
            <w:pPr>
              <w:widowControl w:val="0"/>
              <w:rPr>
                <w:color w:val="000000" w:themeColor="text1"/>
              </w:rPr>
            </w:pPr>
            <w:r w:rsidRPr="00C8572B">
              <w:rPr>
                <w:color w:val="000000" w:themeColor="text1"/>
              </w:rPr>
              <w:t>Magali Lecuona Patiño (Principal) Araceli Romero Romero (Igual) Alejandro Hernández Suárez (Apoyo)</w:t>
            </w:r>
          </w:p>
        </w:tc>
      </w:tr>
      <w:tr w:rsidR="00C8572B" w:rsidRPr="00C8572B" w14:paraId="70015435" w14:textId="77777777" w:rsidTr="00254BAB">
        <w:tc>
          <w:tcPr>
            <w:tcW w:w="3045" w:type="dxa"/>
            <w:shd w:val="clear" w:color="auto" w:fill="auto"/>
            <w:tcMar>
              <w:top w:w="100" w:type="dxa"/>
              <w:left w:w="100" w:type="dxa"/>
              <w:bottom w:w="100" w:type="dxa"/>
              <w:right w:w="100" w:type="dxa"/>
            </w:tcMar>
          </w:tcPr>
          <w:p w14:paraId="2593A96F" w14:textId="77777777" w:rsidR="00734A1C" w:rsidRPr="00C8572B" w:rsidRDefault="00734A1C" w:rsidP="00254BAB">
            <w:pPr>
              <w:widowControl w:val="0"/>
              <w:rPr>
                <w:color w:val="000000" w:themeColor="text1"/>
              </w:rPr>
            </w:pPr>
            <w:r w:rsidRPr="00C8572B">
              <w:rPr>
                <w:color w:val="000000" w:themeColor="text1"/>
              </w:rPr>
              <w:t>Análisis Formal</w:t>
            </w:r>
          </w:p>
        </w:tc>
        <w:tc>
          <w:tcPr>
            <w:tcW w:w="6315" w:type="dxa"/>
            <w:shd w:val="clear" w:color="auto" w:fill="auto"/>
            <w:tcMar>
              <w:top w:w="100" w:type="dxa"/>
              <w:left w:w="100" w:type="dxa"/>
              <w:bottom w:w="100" w:type="dxa"/>
              <w:right w:w="100" w:type="dxa"/>
            </w:tcMar>
          </w:tcPr>
          <w:p w14:paraId="2CD7DB35" w14:textId="77777777" w:rsidR="00734A1C" w:rsidRPr="00C8572B" w:rsidRDefault="00734A1C" w:rsidP="00254BAB">
            <w:pPr>
              <w:widowControl w:val="0"/>
              <w:rPr>
                <w:color w:val="000000" w:themeColor="text1"/>
              </w:rPr>
            </w:pPr>
            <w:r w:rsidRPr="00C8572B">
              <w:rPr>
                <w:color w:val="000000" w:themeColor="text1"/>
              </w:rPr>
              <w:t>Magali Lecuona Patiño (Principal) Araceli Romero Romero (Igual) Alejandro Hernández Suárez (Apoyo)</w:t>
            </w:r>
          </w:p>
        </w:tc>
      </w:tr>
      <w:tr w:rsidR="00C8572B" w:rsidRPr="00C8572B" w14:paraId="3379962A" w14:textId="77777777" w:rsidTr="00254BAB">
        <w:tc>
          <w:tcPr>
            <w:tcW w:w="3045" w:type="dxa"/>
            <w:shd w:val="clear" w:color="auto" w:fill="auto"/>
            <w:tcMar>
              <w:top w:w="100" w:type="dxa"/>
              <w:left w:w="100" w:type="dxa"/>
              <w:bottom w:w="100" w:type="dxa"/>
              <w:right w:w="100" w:type="dxa"/>
            </w:tcMar>
          </w:tcPr>
          <w:p w14:paraId="7E08768A" w14:textId="77777777" w:rsidR="00734A1C" w:rsidRPr="00C8572B" w:rsidRDefault="00734A1C" w:rsidP="00254BAB">
            <w:pPr>
              <w:widowControl w:val="0"/>
              <w:rPr>
                <w:color w:val="000000" w:themeColor="text1"/>
              </w:rPr>
            </w:pPr>
            <w:r w:rsidRPr="00C8572B">
              <w:rPr>
                <w:color w:val="000000" w:themeColor="text1"/>
              </w:rPr>
              <w:t>Investigación</w:t>
            </w:r>
          </w:p>
        </w:tc>
        <w:tc>
          <w:tcPr>
            <w:tcW w:w="6315" w:type="dxa"/>
            <w:shd w:val="clear" w:color="auto" w:fill="auto"/>
            <w:tcMar>
              <w:top w:w="100" w:type="dxa"/>
              <w:left w:w="100" w:type="dxa"/>
              <w:bottom w:w="100" w:type="dxa"/>
              <w:right w:w="100" w:type="dxa"/>
            </w:tcMar>
          </w:tcPr>
          <w:p w14:paraId="25B88957" w14:textId="77777777" w:rsidR="00734A1C" w:rsidRPr="00C8572B" w:rsidRDefault="00734A1C" w:rsidP="00254BAB">
            <w:pPr>
              <w:widowControl w:val="0"/>
              <w:rPr>
                <w:color w:val="000000" w:themeColor="text1"/>
              </w:rPr>
            </w:pPr>
            <w:r w:rsidRPr="00C8572B">
              <w:rPr>
                <w:color w:val="000000" w:themeColor="text1"/>
              </w:rPr>
              <w:t>Magali Lecuona Patiño (Principal) Araceli Romero Romero (Igual) Alejandro Hernández Suárez (Apoyo)</w:t>
            </w:r>
          </w:p>
        </w:tc>
      </w:tr>
      <w:tr w:rsidR="00C8572B" w:rsidRPr="00C8572B" w14:paraId="6C602459" w14:textId="77777777" w:rsidTr="00254BAB">
        <w:tc>
          <w:tcPr>
            <w:tcW w:w="3045" w:type="dxa"/>
            <w:shd w:val="clear" w:color="auto" w:fill="auto"/>
            <w:tcMar>
              <w:top w:w="100" w:type="dxa"/>
              <w:left w:w="100" w:type="dxa"/>
              <w:bottom w:w="100" w:type="dxa"/>
              <w:right w:w="100" w:type="dxa"/>
            </w:tcMar>
          </w:tcPr>
          <w:p w14:paraId="5A828EA4" w14:textId="77777777" w:rsidR="00734A1C" w:rsidRPr="00C8572B" w:rsidRDefault="00734A1C" w:rsidP="00254BAB">
            <w:pPr>
              <w:widowControl w:val="0"/>
              <w:rPr>
                <w:color w:val="000000" w:themeColor="text1"/>
              </w:rPr>
            </w:pPr>
            <w:r w:rsidRPr="00C8572B">
              <w:rPr>
                <w:color w:val="000000" w:themeColor="text1"/>
              </w:rPr>
              <w:t>Recursos</w:t>
            </w:r>
          </w:p>
        </w:tc>
        <w:tc>
          <w:tcPr>
            <w:tcW w:w="6315" w:type="dxa"/>
            <w:shd w:val="clear" w:color="auto" w:fill="auto"/>
            <w:tcMar>
              <w:top w:w="100" w:type="dxa"/>
              <w:left w:w="100" w:type="dxa"/>
              <w:bottom w:w="100" w:type="dxa"/>
              <w:right w:w="100" w:type="dxa"/>
            </w:tcMar>
          </w:tcPr>
          <w:p w14:paraId="5DA70B0F" w14:textId="77777777" w:rsidR="00734A1C" w:rsidRPr="00C8572B" w:rsidRDefault="00734A1C" w:rsidP="00254BAB">
            <w:pPr>
              <w:widowControl w:val="0"/>
              <w:rPr>
                <w:color w:val="000000" w:themeColor="text1"/>
              </w:rPr>
            </w:pPr>
            <w:r w:rsidRPr="00C8572B">
              <w:rPr>
                <w:color w:val="000000" w:themeColor="text1"/>
              </w:rPr>
              <w:t>Magali Lecuona Patiño (Principal) Araceli Romero Romero (Igual) Alejandro Hernández Suárez (Igual)</w:t>
            </w:r>
          </w:p>
        </w:tc>
      </w:tr>
      <w:tr w:rsidR="00C8572B" w:rsidRPr="00C8572B" w14:paraId="1706D590" w14:textId="77777777" w:rsidTr="00254BAB">
        <w:tc>
          <w:tcPr>
            <w:tcW w:w="3045" w:type="dxa"/>
            <w:shd w:val="clear" w:color="auto" w:fill="auto"/>
            <w:tcMar>
              <w:top w:w="100" w:type="dxa"/>
              <w:left w:w="100" w:type="dxa"/>
              <w:bottom w:w="100" w:type="dxa"/>
              <w:right w:w="100" w:type="dxa"/>
            </w:tcMar>
          </w:tcPr>
          <w:p w14:paraId="3F5F6BBC" w14:textId="77777777" w:rsidR="00734A1C" w:rsidRPr="00C8572B" w:rsidRDefault="00734A1C" w:rsidP="00254BAB">
            <w:pPr>
              <w:widowControl w:val="0"/>
              <w:rPr>
                <w:color w:val="000000" w:themeColor="text1"/>
              </w:rPr>
            </w:pPr>
            <w:r w:rsidRPr="00C8572B">
              <w:rPr>
                <w:color w:val="000000" w:themeColor="text1"/>
              </w:rPr>
              <w:t>Curación de datos</w:t>
            </w:r>
          </w:p>
        </w:tc>
        <w:tc>
          <w:tcPr>
            <w:tcW w:w="6315" w:type="dxa"/>
            <w:shd w:val="clear" w:color="auto" w:fill="auto"/>
            <w:tcMar>
              <w:top w:w="100" w:type="dxa"/>
              <w:left w:w="100" w:type="dxa"/>
              <w:bottom w:w="100" w:type="dxa"/>
              <w:right w:w="100" w:type="dxa"/>
            </w:tcMar>
          </w:tcPr>
          <w:p w14:paraId="4AB4D972" w14:textId="77777777" w:rsidR="00734A1C" w:rsidRPr="00C8572B" w:rsidRDefault="00734A1C" w:rsidP="00254BAB">
            <w:pPr>
              <w:widowControl w:val="0"/>
              <w:rPr>
                <w:color w:val="000000" w:themeColor="text1"/>
              </w:rPr>
            </w:pPr>
            <w:r w:rsidRPr="00C8572B">
              <w:rPr>
                <w:color w:val="000000" w:themeColor="text1"/>
              </w:rPr>
              <w:t>Magali Lecuona Patiño (Principal) Araceli Romero Romero (Igual) Alejandro Hernández Suárez (Apoyo)</w:t>
            </w:r>
          </w:p>
        </w:tc>
      </w:tr>
      <w:tr w:rsidR="00C8572B" w:rsidRPr="00C8572B" w14:paraId="5A1137B5" w14:textId="77777777" w:rsidTr="00254BAB">
        <w:tc>
          <w:tcPr>
            <w:tcW w:w="3045" w:type="dxa"/>
            <w:shd w:val="clear" w:color="auto" w:fill="auto"/>
            <w:tcMar>
              <w:top w:w="100" w:type="dxa"/>
              <w:left w:w="100" w:type="dxa"/>
              <w:bottom w:w="100" w:type="dxa"/>
              <w:right w:w="100" w:type="dxa"/>
            </w:tcMar>
          </w:tcPr>
          <w:p w14:paraId="7C3BC568" w14:textId="77777777" w:rsidR="00734A1C" w:rsidRPr="00C8572B" w:rsidRDefault="00734A1C" w:rsidP="00254BAB">
            <w:pPr>
              <w:widowControl w:val="0"/>
              <w:rPr>
                <w:color w:val="000000" w:themeColor="text1"/>
              </w:rPr>
            </w:pPr>
            <w:r w:rsidRPr="00C8572B">
              <w:rPr>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1C112DA8" w14:textId="77777777" w:rsidR="00734A1C" w:rsidRPr="00C8572B" w:rsidRDefault="00734A1C" w:rsidP="00254BAB">
            <w:pPr>
              <w:widowControl w:val="0"/>
              <w:rPr>
                <w:color w:val="000000" w:themeColor="text1"/>
              </w:rPr>
            </w:pPr>
            <w:r w:rsidRPr="00C8572B">
              <w:rPr>
                <w:color w:val="000000" w:themeColor="text1"/>
              </w:rPr>
              <w:t>Magali Lecuona Patiño (Principal) Araceli Romero Romero (Igual) Alejandro Hernández Suárez (Apoyo)</w:t>
            </w:r>
          </w:p>
        </w:tc>
      </w:tr>
      <w:tr w:rsidR="00C8572B" w:rsidRPr="00C8572B" w14:paraId="3C6F6646" w14:textId="77777777" w:rsidTr="00254BAB">
        <w:tc>
          <w:tcPr>
            <w:tcW w:w="3045" w:type="dxa"/>
            <w:shd w:val="clear" w:color="auto" w:fill="auto"/>
            <w:tcMar>
              <w:top w:w="100" w:type="dxa"/>
              <w:left w:w="100" w:type="dxa"/>
              <w:bottom w:w="100" w:type="dxa"/>
              <w:right w:w="100" w:type="dxa"/>
            </w:tcMar>
          </w:tcPr>
          <w:p w14:paraId="61930500" w14:textId="77777777" w:rsidR="00734A1C" w:rsidRPr="00C8572B" w:rsidRDefault="00734A1C" w:rsidP="00254BAB">
            <w:pPr>
              <w:widowControl w:val="0"/>
              <w:rPr>
                <w:color w:val="000000" w:themeColor="text1"/>
              </w:rPr>
            </w:pPr>
            <w:r w:rsidRPr="00C8572B">
              <w:rPr>
                <w:color w:val="000000" w:themeColor="text1"/>
              </w:rPr>
              <w:t>Escritura - Revisión y edición</w:t>
            </w:r>
          </w:p>
        </w:tc>
        <w:tc>
          <w:tcPr>
            <w:tcW w:w="6315" w:type="dxa"/>
            <w:shd w:val="clear" w:color="auto" w:fill="auto"/>
            <w:tcMar>
              <w:top w:w="100" w:type="dxa"/>
              <w:left w:w="100" w:type="dxa"/>
              <w:bottom w:w="100" w:type="dxa"/>
              <w:right w:w="100" w:type="dxa"/>
            </w:tcMar>
          </w:tcPr>
          <w:p w14:paraId="6033C091" w14:textId="77777777" w:rsidR="00734A1C" w:rsidRPr="00C8572B" w:rsidRDefault="00734A1C" w:rsidP="00254BAB">
            <w:pPr>
              <w:widowControl w:val="0"/>
              <w:rPr>
                <w:color w:val="000000" w:themeColor="text1"/>
              </w:rPr>
            </w:pPr>
            <w:r w:rsidRPr="00C8572B">
              <w:rPr>
                <w:color w:val="000000" w:themeColor="text1"/>
              </w:rPr>
              <w:t>Magali Lecuona Patiño (Principal) Araceli Romero Romero (Igual) Alejandro Hernández Suárez (Apoyo)</w:t>
            </w:r>
          </w:p>
        </w:tc>
      </w:tr>
      <w:tr w:rsidR="00C8572B" w:rsidRPr="00C8572B" w14:paraId="64D3423B" w14:textId="77777777" w:rsidTr="00254BAB">
        <w:tc>
          <w:tcPr>
            <w:tcW w:w="3045" w:type="dxa"/>
            <w:shd w:val="clear" w:color="auto" w:fill="auto"/>
            <w:tcMar>
              <w:top w:w="100" w:type="dxa"/>
              <w:left w:w="100" w:type="dxa"/>
              <w:bottom w:w="100" w:type="dxa"/>
              <w:right w:w="100" w:type="dxa"/>
            </w:tcMar>
          </w:tcPr>
          <w:p w14:paraId="18B35EFA" w14:textId="77777777" w:rsidR="00734A1C" w:rsidRPr="00C8572B" w:rsidRDefault="00734A1C" w:rsidP="00254BAB">
            <w:pPr>
              <w:widowControl w:val="0"/>
              <w:rPr>
                <w:color w:val="000000" w:themeColor="text1"/>
              </w:rPr>
            </w:pPr>
            <w:r w:rsidRPr="00C8572B">
              <w:rPr>
                <w:color w:val="000000" w:themeColor="text1"/>
              </w:rPr>
              <w:t>Visualización</w:t>
            </w:r>
          </w:p>
        </w:tc>
        <w:tc>
          <w:tcPr>
            <w:tcW w:w="6315" w:type="dxa"/>
            <w:shd w:val="clear" w:color="auto" w:fill="auto"/>
            <w:tcMar>
              <w:top w:w="100" w:type="dxa"/>
              <w:left w:w="100" w:type="dxa"/>
              <w:bottom w:w="100" w:type="dxa"/>
              <w:right w:w="100" w:type="dxa"/>
            </w:tcMar>
          </w:tcPr>
          <w:p w14:paraId="344F649A" w14:textId="77777777" w:rsidR="00734A1C" w:rsidRPr="00C8572B" w:rsidRDefault="00734A1C" w:rsidP="00254BAB">
            <w:pPr>
              <w:widowControl w:val="0"/>
              <w:rPr>
                <w:color w:val="000000" w:themeColor="text1"/>
              </w:rPr>
            </w:pPr>
            <w:r w:rsidRPr="00C8572B">
              <w:rPr>
                <w:color w:val="000000" w:themeColor="text1"/>
              </w:rPr>
              <w:t>Magali Lecuona Patiño (Principal) Araceli Romero Romero (Igual) Alejandro Hernández Suárez (Apoyo)</w:t>
            </w:r>
          </w:p>
        </w:tc>
      </w:tr>
      <w:tr w:rsidR="00C8572B" w:rsidRPr="00C8572B" w14:paraId="12276DBF" w14:textId="77777777" w:rsidTr="00254BAB">
        <w:tc>
          <w:tcPr>
            <w:tcW w:w="3045" w:type="dxa"/>
            <w:shd w:val="clear" w:color="auto" w:fill="auto"/>
            <w:tcMar>
              <w:top w:w="100" w:type="dxa"/>
              <w:left w:w="100" w:type="dxa"/>
              <w:bottom w:w="100" w:type="dxa"/>
              <w:right w:w="100" w:type="dxa"/>
            </w:tcMar>
          </w:tcPr>
          <w:p w14:paraId="17A0CCEB" w14:textId="77777777" w:rsidR="00734A1C" w:rsidRPr="00C8572B" w:rsidRDefault="00734A1C" w:rsidP="00254BAB">
            <w:pPr>
              <w:widowControl w:val="0"/>
              <w:rPr>
                <w:color w:val="000000" w:themeColor="text1"/>
              </w:rPr>
            </w:pPr>
            <w:r w:rsidRPr="00C8572B">
              <w:rPr>
                <w:color w:val="000000" w:themeColor="text1"/>
              </w:rPr>
              <w:t>Supervisión</w:t>
            </w:r>
          </w:p>
        </w:tc>
        <w:tc>
          <w:tcPr>
            <w:tcW w:w="6315" w:type="dxa"/>
            <w:shd w:val="clear" w:color="auto" w:fill="auto"/>
            <w:tcMar>
              <w:top w:w="100" w:type="dxa"/>
              <w:left w:w="100" w:type="dxa"/>
              <w:bottom w:w="100" w:type="dxa"/>
              <w:right w:w="100" w:type="dxa"/>
            </w:tcMar>
          </w:tcPr>
          <w:p w14:paraId="0EE2140A" w14:textId="77777777" w:rsidR="00734A1C" w:rsidRPr="00C8572B" w:rsidRDefault="00734A1C" w:rsidP="00254BAB">
            <w:pPr>
              <w:widowControl w:val="0"/>
              <w:rPr>
                <w:color w:val="000000" w:themeColor="text1"/>
              </w:rPr>
            </w:pPr>
            <w:r w:rsidRPr="00C8572B">
              <w:rPr>
                <w:color w:val="000000" w:themeColor="text1"/>
              </w:rPr>
              <w:t>Magali Lecuona Patiño (Principal)</w:t>
            </w:r>
          </w:p>
        </w:tc>
      </w:tr>
      <w:tr w:rsidR="00C8572B" w:rsidRPr="00C8572B" w14:paraId="65D145CD" w14:textId="77777777" w:rsidTr="00254BAB">
        <w:tc>
          <w:tcPr>
            <w:tcW w:w="3045" w:type="dxa"/>
            <w:shd w:val="clear" w:color="auto" w:fill="auto"/>
            <w:tcMar>
              <w:top w:w="100" w:type="dxa"/>
              <w:left w:w="100" w:type="dxa"/>
              <w:bottom w:w="100" w:type="dxa"/>
              <w:right w:w="100" w:type="dxa"/>
            </w:tcMar>
          </w:tcPr>
          <w:p w14:paraId="0DA9EF03" w14:textId="77777777" w:rsidR="00734A1C" w:rsidRPr="00C8572B" w:rsidRDefault="00734A1C" w:rsidP="00254BAB">
            <w:pPr>
              <w:widowControl w:val="0"/>
              <w:rPr>
                <w:color w:val="000000" w:themeColor="text1"/>
              </w:rPr>
            </w:pPr>
            <w:r w:rsidRPr="00C8572B">
              <w:rPr>
                <w:color w:val="000000" w:themeColor="text1"/>
              </w:rPr>
              <w:t>Administración de Proyectos</w:t>
            </w:r>
          </w:p>
        </w:tc>
        <w:tc>
          <w:tcPr>
            <w:tcW w:w="6315" w:type="dxa"/>
            <w:shd w:val="clear" w:color="auto" w:fill="auto"/>
            <w:tcMar>
              <w:top w:w="100" w:type="dxa"/>
              <w:left w:w="100" w:type="dxa"/>
              <w:bottom w:w="100" w:type="dxa"/>
              <w:right w:w="100" w:type="dxa"/>
            </w:tcMar>
          </w:tcPr>
          <w:p w14:paraId="4B430986" w14:textId="77777777" w:rsidR="00734A1C" w:rsidRPr="00C8572B" w:rsidRDefault="00734A1C" w:rsidP="00254BAB">
            <w:pPr>
              <w:widowControl w:val="0"/>
              <w:rPr>
                <w:color w:val="000000" w:themeColor="text1"/>
              </w:rPr>
            </w:pPr>
            <w:r w:rsidRPr="00C8572B">
              <w:rPr>
                <w:color w:val="000000" w:themeColor="text1"/>
              </w:rPr>
              <w:t>Magali Lecuona Patiño (Principal)</w:t>
            </w:r>
          </w:p>
        </w:tc>
      </w:tr>
      <w:tr w:rsidR="00C8572B" w:rsidRPr="00C8572B" w14:paraId="1ADE96AD" w14:textId="77777777" w:rsidTr="00254BAB">
        <w:tc>
          <w:tcPr>
            <w:tcW w:w="3045" w:type="dxa"/>
            <w:shd w:val="clear" w:color="auto" w:fill="auto"/>
            <w:tcMar>
              <w:top w:w="100" w:type="dxa"/>
              <w:left w:w="100" w:type="dxa"/>
              <w:bottom w:w="100" w:type="dxa"/>
              <w:right w:w="100" w:type="dxa"/>
            </w:tcMar>
          </w:tcPr>
          <w:p w14:paraId="286FA76F" w14:textId="77777777" w:rsidR="00734A1C" w:rsidRPr="00C8572B" w:rsidRDefault="00734A1C" w:rsidP="00254BAB">
            <w:pPr>
              <w:widowControl w:val="0"/>
              <w:rPr>
                <w:color w:val="000000" w:themeColor="text1"/>
              </w:rPr>
            </w:pPr>
            <w:r w:rsidRPr="00C8572B">
              <w:rPr>
                <w:color w:val="000000" w:themeColor="text1"/>
              </w:rPr>
              <w:t>Adquisición de fondos</w:t>
            </w:r>
          </w:p>
        </w:tc>
        <w:tc>
          <w:tcPr>
            <w:tcW w:w="6315" w:type="dxa"/>
            <w:shd w:val="clear" w:color="auto" w:fill="auto"/>
            <w:tcMar>
              <w:top w:w="100" w:type="dxa"/>
              <w:left w:w="100" w:type="dxa"/>
              <w:bottom w:w="100" w:type="dxa"/>
              <w:right w:w="100" w:type="dxa"/>
            </w:tcMar>
          </w:tcPr>
          <w:p w14:paraId="5E771E9F" w14:textId="77777777" w:rsidR="00734A1C" w:rsidRPr="00C8572B" w:rsidRDefault="00734A1C" w:rsidP="00254BAB">
            <w:pPr>
              <w:widowControl w:val="0"/>
              <w:rPr>
                <w:color w:val="000000" w:themeColor="text1"/>
              </w:rPr>
            </w:pPr>
            <w:r w:rsidRPr="00C8572B">
              <w:rPr>
                <w:color w:val="000000" w:themeColor="text1"/>
              </w:rPr>
              <w:t xml:space="preserve">Araceli Romero Romero (Principal) Alejandro Hernández Suárez (Igual) Magali Lecuona Patiño (Igual) </w:t>
            </w:r>
          </w:p>
        </w:tc>
      </w:tr>
    </w:tbl>
    <w:p w14:paraId="68472750" w14:textId="77777777" w:rsidR="00734A1C" w:rsidRPr="00FD2B90" w:rsidRDefault="00734A1C" w:rsidP="00734A1C">
      <w:pPr>
        <w:rPr>
          <w:b/>
          <w:sz w:val="32"/>
          <w:szCs w:val="32"/>
        </w:rPr>
      </w:pPr>
      <w:bookmarkStart w:id="5" w:name="_7wxknhk77jvd" w:colFirst="0" w:colLast="0"/>
      <w:bookmarkStart w:id="6" w:name="_e82zjkh9wpmh" w:colFirst="0" w:colLast="0"/>
      <w:bookmarkStart w:id="7" w:name="_dpax8qmeeixw" w:colFirst="0" w:colLast="0"/>
      <w:bookmarkStart w:id="8" w:name="_8paisg7rhbci" w:colFirst="0" w:colLast="0"/>
      <w:bookmarkEnd w:id="5"/>
      <w:bookmarkEnd w:id="6"/>
      <w:bookmarkEnd w:id="7"/>
      <w:bookmarkEnd w:id="8"/>
    </w:p>
    <w:p w14:paraId="109FC346" w14:textId="77777777" w:rsidR="00734A1C" w:rsidRPr="00997638" w:rsidRDefault="00734A1C" w:rsidP="007B3952">
      <w:pPr>
        <w:spacing w:line="360" w:lineRule="auto"/>
        <w:ind w:left="567" w:hanging="567"/>
        <w:jc w:val="both"/>
        <w:rPr>
          <w:lang w:eastAsia="es-ES_tradnl"/>
        </w:rPr>
      </w:pPr>
    </w:p>
    <w:sectPr w:rsidR="00734A1C" w:rsidRPr="00997638" w:rsidSect="009E3E75">
      <w:headerReference w:type="default" r:id="rId27"/>
      <w:footerReference w:type="default" r:id="rId28"/>
      <w:pgSz w:w="12240" w:h="15840"/>
      <w:pgMar w:top="1276" w:right="1701" w:bottom="567"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5257" w14:textId="77777777" w:rsidR="00B4422D" w:rsidRDefault="00B4422D" w:rsidP="009E3E75">
      <w:r>
        <w:separator/>
      </w:r>
    </w:p>
  </w:endnote>
  <w:endnote w:type="continuationSeparator" w:id="0">
    <w:p w14:paraId="1692D8DD" w14:textId="77777777" w:rsidR="00B4422D" w:rsidRDefault="00B4422D" w:rsidP="009E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3D11" w14:textId="6A8816A6" w:rsidR="009E3E75" w:rsidRPr="009E3E75" w:rsidRDefault="009E3E75" w:rsidP="009E3E75">
    <w:pPr>
      <w:pStyle w:val="Piedepgina"/>
      <w:jc w:val="center"/>
      <w:rPr>
        <w:rFonts w:asciiTheme="minorHAnsi" w:hAnsiTheme="minorHAnsi" w:cstheme="minorHAnsi"/>
      </w:rPr>
    </w:pPr>
    <w:r w:rsidRPr="009E3E75">
      <w:rPr>
        <w:rFonts w:asciiTheme="minorHAnsi" w:hAnsiTheme="minorHAnsi" w:cstheme="minorHAnsi"/>
        <w:b/>
        <w:bCs/>
        <w:sz w:val="22"/>
        <w:szCs w:val="22"/>
      </w:rPr>
      <w:t>Vol. 8  Núm. 16                   Julio - Diciembre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F11C" w14:textId="77777777" w:rsidR="00B4422D" w:rsidRDefault="00B4422D" w:rsidP="009E3E75">
      <w:r>
        <w:separator/>
      </w:r>
    </w:p>
  </w:footnote>
  <w:footnote w:type="continuationSeparator" w:id="0">
    <w:p w14:paraId="65AE1A13" w14:textId="77777777" w:rsidR="00B4422D" w:rsidRDefault="00B4422D" w:rsidP="009E3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921E" w14:textId="42EA0232" w:rsidR="009E3E75" w:rsidRDefault="009E3E75" w:rsidP="009E3E75">
    <w:pPr>
      <w:pStyle w:val="Encabezado"/>
      <w:jc w:val="center"/>
    </w:pPr>
    <w:r>
      <w:rPr>
        <w:noProof/>
      </w:rPr>
      <w:drawing>
        <wp:inline distT="0" distB="0" distL="0" distR="0" wp14:anchorId="26631A3F" wp14:editId="501CFF1D">
          <wp:extent cx="5612130" cy="608330"/>
          <wp:effectExtent l="0" t="0" r="762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2110"/>
    <w:multiLevelType w:val="hybridMultilevel"/>
    <w:tmpl w:val="2B72425A"/>
    <w:lvl w:ilvl="0" w:tplc="0D4455B0">
      <w:start w:val="1"/>
      <w:numFmt w:val="bullet"/>
      <w:lvlText w:val="•"/>
      <w:lvlJc w:val="left"/>
      <w:pPr>
        <w:tabs>
          <w:tab w:val="num" w:pos="720"/>
        </w:tabs>
        <w:ind w:left="720" w:hanging="360"/>
      </w:pPr>
      <w:rPr>
        <w:rFonts w:ascii="Times New Roman" w:hAnsi="Times New Roman" w:hint="default"/>
      </w:rPr>
    </w:lvl>
    <w:lvl w:ilvl="1" w:tplc="A20ACF76" w:tentative="1">
      <w:start w:val="1"/>
      <w:numFmt w:val="bullet"/>
      <w:lvlText w:val="•"/>
      <w:lvlJc w:val="left"/>
      <w:pPr>
        <w:tabs>
          <w:tab w:val="num" w:pos="1440"/>
        </w:tabs>
        <w:ind w:left="1440" w:hanging="360"/>
      </w:pPr>
      <w:rPr>
        <w:rFonts w:ascii="Times New Roman" w:hAnsi="Times New Roman" w:hint="default"/>
      </w:rPr>
    </w:lvl>
    <w:lvl w:ilvl="2" w:tplc="A2225D14" w:tentative="1">
      <w:start w:val="1"/>
      <w:numFmt w:val="bullet"/>
      <w:lvlText w:val="•"/>
      <w:lvlJc w:val="left"/>
      <w:pPr>
        <w:tabs>
          <w:tab w:val="num" w:pos="2160"/>
        </w:tabs>
        <w:ind w:left="2160" w:hanging="360"/>
      </w:pPr>
      <w:rPr>
        <w:rFonts w:ascii="Times New Roman" w:hAnsi="Times New Roman" w:hint="default"/>
      </w:rPr>
    </w:lvl>
    <w:lvl w:ilvl="3" w:tplc="210884F8" w:tentative="1">
      <w:start w:val="1"/>
      <w:numFmt w:val="bullet"/>
      <w:lvlText w:val="•"/>
      <w:lvlJc w:val="left"/>
      <w:pPr>
        <w:tabs>
          <w:tab w:val="num" w:pos="2880"/>
        </w:tabs>
        <w:ind w:left="2880" w:hanging="360"/>
      </w:pPr>
      <w:rPr>
        <w:rFonts w:ascii="Times New Roman" w:hAnsi="Times New Roman" w:hint="default"/>
      </w:rPr>
    </w:lvl>
    <w:lvl w:ilvl="4" w:tplc="87FC4DC8" w:tentative="1">
      <w:start w:val="1"/>
      <w:numFmt w:val="bullet"/>
      <w:lvlText w:val="•"/>
      <w:lvlJc w:val="left"/>
      <w:pPr>
        <w:tabs>
          <w:tab w:val="num" w:pos="3600"/>
        </w:tabs>
        <w:ind w:left="3600" w:hanging="360"/>
      </w:pPr>
      <w:rPr>
        <w:rFonts w:ascii="Times New Roman" w:hAnsi="Times New Roman" w:hint="default"/>
      </w:rPr>
    </w:lvl>
    <w:lvl w:ilvl="5" w:tplc="7BBC6274" w:tentative="1">
      <w:start w:val="1"/>
      <w:numFmt w:val="bullet"/>
      <w:lvlText w:val="•"/>
      <w:lvlJc w:val="left"/>
      <w:pPr>
        <w:tabs>
          <w:tab w:val="num" w:pos="4320"/>
        </w:tabs>
        <w:ind w:left="4320" w:hanging="360"/>
      </w:pPr>
      <w:rPr>
        <w:rFonts w:ascii="Times New Roman" w:hAnsi="Times New Roman" w:hint="default"/>
      </w:rPr>
    </w:lvl>
    <w:lvl w:ilvl="6" w:tplc="5DA60A5E" w:tentative="1">
      <w:start w:val="1"/>
      <w:numFmt w:val="bullet"/>
      <w:lvlText w:val="•"/>
      <w:lvlJc w:val="left"/>
      <w:pPr>
        <w:tabs>
          <w:tab w:val="num" w:pos="5040"/>
        </w:tabs>
        <w:ind w:left="5040" w:hanging="360"/>
      </w:pPr>
      <w:rPr>
        <w:rFonts w:ascii="Times New Roman" w:hAnsi="Times New Roman" w:hint="default"/>
      </w:rPr>
    </w:lvl>
    <w:lvl w:ilvl="7" w:tplc="02B08BDC" w:tentative="1">
      <w:start w:val="1"/>
      <w:numFmt w:val="bullet"/>
      <w:lvlText w:val="•"/>
      <w:lvlJc w:val="left"/>
      <w:pPr>
        <w:tabs>
          <w:tab w:val="num" w:pos="5760"/>
        </w:tabs>
        <w:ind w:left="5760" w:hanging="360"/>
      </w:pPr>
      <w:rPr>
        <w:rFonts w:ascii="Times New Roman" w:hAnsi="Times New Roman" w:hint="default"/>
      </w:rPr>
    </w:lvl>
    <w:lvl w:ilvl="8" w:tplc="FE98B31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A71FA3"/>
    <w:multiLevelType w:val="hybridMultilevel"/>
    <w:tmpl w:val="C0CE0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B61A1E"/>
    <w:multiLevelType w:val="multilevel"/>
    <w:tmpl w:val="301C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F3E4C"/>
    <w:multiLevelType w:val="hybridMultilevel"/>
    <w:tmpl w:val="5D480D46"/>
    <w:lvl w:ilvl="0" w:tplc="7138E9F6">
      <w:start w:val="1"/>
      <w:numFmt w:val="bullet"/>
      <w:lvlText w:val="•"/>
      <w:lvlJc w:val="left"/>
      <w:pPr>
        <w:tabs>
          <w:tab w:val="num" w:pos="720"/>
        </w:tabs>
        <w:ind w:left="720" w:hanging="360"/>
      </w:pPr>
      <w:rPr>
        <w:rFonts w:ascii="Times New Roman" w:hAnsi="Times New Roman" w:hint="default"/>
      </w:rPr>
    </w:lvl>
    <w:lvl w:ilvl="1" w:tplc="2D069B00" w:tentative="1">
      <w:start w:val="1"/>
      <w:numFmt w:val="bullet"/>
      <w:lvlText w:val="•"/>
      <w:lvlJc w:val="left"/>
      <w:pPr>
        <w:tabs>
          <w:tab w:val="num" w:pos="1440"/>
        </w:tabs>
        <w:ind w:left="1440" w:hanging="360"/>
      </w:pPr>
      <w:rPr>
        <w:rFonts w:ascii="Times New Roman" w:hAnsi="Times New Roman" w:hint="default"/>
      </w:rPr>
    </w:lvl>
    <w:lvl w:ilvl="2" w:tplc="EFC4D07A" w:tentative="1">
      <w:start w:val="1"/>
      <w:numFmt w:val="bullet"/>
      <w:lvlText w:val="•"/>
      <w:lvlJc w:val="left"/>
      <w:pPr>
        <w:tabs>
          <w:tab w:val="num" w:pos="2160"/>
        </w:tabs>
        <w:ind w:left="2160" w:hanging="360"/>
      </w:pPr>
      <w:rPr>
        <w:rFonts w:ascii="Times New Roman" w:hAnsi="Times New Roman" w:hint="default"/>
      </w:rPr>
    </w:lvl>
    <w:lvl w:ilvl="3" w:tplc="65225EA6" w:tentative="1">
      <w:start w:val="1"/>
      <w:numFmt w:val="bullet"/>
      <w:lvlText w:val="•"/>
      <w:lvlJc w:val="left"/>
      <w:pPr>
        <w:tabs>
          <w:tab w:val="num" w:pos="2880"/>
        </w:tabs>
        <w:ind w:left="2880" w:hanging="360"/>
      </w:pPr>
      <w:rPr>
        <w:rFonts w:ascii="Times New Roman" w:hAnsi="Times New Roman" w:hint="default"/>
      </w:rPr>
    </w:lvl>
    <w:lvl w:ilvl="4" w:tplc="94924E56" w:tentative="1">
      <w:start w:val="1"/>
      <w:numFmt w:val="bullet"/>
      <w:lvlText w:val="•"/>
      <w:lvlJc w:val="left"/>
      <w:pPr>
        <w:tabs>
          <w:tab w:val="num" w:pos="3600"/>
        </w:tabs>
        <w:ind w:left="3600" w:hanging="360"/>
      </w:pPr>
      <w:rPr>
        <w:rFonts w:ascii="Times New Roman" w:hAnsi="Times New Roman" w:hint="default"/>
      </w:rPr>
    </w:lvl>
    <w:lvl w:ilvl="5" w:tplc="8F203F4A" w:tentative="1">
      <w:start w:val="1"/>
      <w:numFmt w:val="bullet"/>
      <w:lvlText w:val="•"/>
      <w:lvlJc w:val="left"/>
      <w:pPr>
        <w:tabs>
          <w:tab w:val="num" w:pos="4320"/>
        </w:tabs>
        <w:ind w:left="4320" w:hanging="360"/>
      </w:pPr>
      <w:rPr>
        <w:rFonts w:ascii="Times New Roman" w:hAnsi="Times New Roman" w:hint="default"/>
      </w:rPr>
    </w:lvl>
    <w:lvl w:ilvl="6" w:tplc="5CFA7EAC" w:tentative="1">
      <w:start w:val="1"/>
      <w:numFmt w:val="bullet"/>
      <w:lvlText w:val="•"/>
      <w:lvlJc w:val="left"/>
      <w:pPr>
        <w:tabs>
          <w:tab w:val="num" w:pos="5040"/>
        </w:tabs>
        <w:ind w:left="5040" w:hanging="360"/>
      </w:pPr>
      <w:rPr>
        <w:rFonts w:ascii="Times New Roman" w:hAnsi="Times New Roman" w:hint="default"/>
      </w:rPr>
    </w:lvl>
    <w:lvl w:ilvl="7" w:tplc="146E3230" w:tentative="1">
      <w:start w:val="1"/>
      <w:numFmt w:val="bullet"/>
      <w:lvlText w:val="•"/>
      <w:lvlJc w:val="left"/>
      <w:pPr>
        <w:tabs>
          <w:tab w:val="num" w:pos="5760"/>
        </w:tabs>
        <w:ind w:left="5760" w:hanging="360"/>
      </w:pPr>
      <w:rPr>
        <w:rFonts w:ascii="Times New Roman" w:hAnsi="Times New Roman" w:hint="default"/>
      </w:rPr>
    </w:lvl>
    <w:lvl w:ilvl="8" w:tplc="A370884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884813"/>
    <w:multiLevelType w:val="hybridMultilevel"/>
    <w:tmpl w:val="9C48F25E"/>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5" w15:restartNumberingAfterBreak="0">
    <w:nsid w:val="16881761"/>
    <w:multiLevelType w:val="hybridMultilevel"/>
    <w:tmpl w:val="58926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7C1109"/>
    <w:multiLevelType w:val="hybridMultilevel"/>
    <w:tmpl w:val="96EC5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E976A7"/>
    <w:multiLevelType w:val="hybridMultilevel"/>
    <w:tmpl w:val="5FFA73BE"/>
    <w:lvl w:ilvl="0" w:tplc="99AAB3F0">
      <w:start w:val="1"/>
      <w:numFmt w:val="bullet"/>
      <w:lvlText w:val="•"/>
      <w:lvlJc w:val="left"/>
      <w:pPr>
        <w:tabs>
          <w:tab w:val="num" w:pos="720"/>
        </w:tabs>
        <w:ind w:left="720" w:hanging="360"/>
      </w:pPr>
      <w:rPr>
        <w:rFonts w:ascii="Times New Roman" w:hAnsi="Times New Roman" w:hint="default"/>
      </w:rPr>
    </w:lvl>
    <w:lvl w:ilvl="1" w:tplc="8F4CE22E" w:tentative="1">
      <w:start w:val="1"/>
      <w:numFmt w:val="bullet"/>
      <w:lvlText w:val="•"/>
      <w:lvlJc w:val="left"/>
      <w:pPr>
        <w:tabs>
          <w:tab w:val="num" w:pos="1440"/>
        </w:tabs>
        <w:ind w:left="1440" w:hanging="360"/>
      </w:pPr>
      <w:rPr>
        <w:rFonts w:ascii="Times New Roman" w:hAnsi="Times New Roman" w:hint="default"/>
      </w:rPr>
    </w:lvl>
    <w:lvl w:ilvl="2" w:tplc="7D5CBC4C" w:tentative="1">
      <w:start w:val="1"/>
      <w:numFmt w:val="bullet"/>
      <w:lvlText w:val="•"/>
      <w:lvlJc w:val="left"/>
      <w:pPr>
        <w:tabs>
          <w:tab w:val="num" w:pos="2160"/>
        </w:tabs>
        <w:ind w:left="2160" w:hanging="360"/>
      </w:pPr>
      <w:rPr>
        <w:rFonts w:ascii="Times New Roman" w:hAnsi="Times New Roman" w:hint="default"/>
      </w:rPr>
    </w:lvl>
    <w:lvl w:ilvl="3" w:tplc="467A198C" w:tentative="1">
      <w:start w:val="1"/>
      <w:numFmt w:val="bullet"/>
      <w:lvlText w:val="•"/>
      <w:lvlJc w:val="left"/>
      <w:pPr>
        <w:tabs>
          <w:tab w:val="num" w:pos="2880"/>
        </w:tabs>
        <w:ind w:left="2880" w:hanging="360"/>
      </w:pPr>
      <w:rPr>
        <w:rFonts w:ascii="Times New Roman" w:hAnsi="Times New Roman" w:hint="default"/>
      </w:rPr>
    </w:lvl>
    <w:lvl w:ilvl="4" w:tplc="961AF672" w:tentative="1">
      <w:start w:val="1"/>
      <w:numFmt w:val="bullet"/>
      <w:lvlText w:val="•"/>
      <w:lvlJc w:val="left"/>
      <w:pPr>
        <w:tabs>
          <w:tab w:val="num" w:pos="3600"/>
        </w:tabs>
        <w:ind w:left="3600" w:hanging="360"/>
      </w:pPr>
      <w:rPr>
        <w:rFonts w:ascii="Times New Roman" w:hAnsi="Times New Roman" w:hint="default"/>
      </w:rPr>
    </w:lvl>
    <w:lvl w:ilvl="5" w:tplc="272E6A4C" w:tentative="1">
      <w:start w:val="1"/>
      <w:numFmt w:val="bullet"/>
      <w:lvlText w:val="•"/>
      <w:lvlJc w:val="left"/>
      <w:pPr>
        <w:tabs>
          <w:tab w:val="num" w:pos="4320"/>
        </w:tabs>
        <w:ind w:left="4320" w:hanging="360"/>
      </w:pPr>
      <w:rPr>
        <w:rFonts w:ascii="Times New Roman" w:hAnsi="Times New Roman" w:hint="default"/>
      </w:rPr>
    </w:lvl>
    <w:lvl w:ilvl="6" w:tplc="7E226138" w:tentative="1">
      <w:start w:val="1"/>
      <w:numFmt w:val="bullet"/>
      <w:lvlText w:val="•"/>
      <w:lvlJc w:val="left"/>
      <w:pPr>
        <w:tabs>
          <w:tab w:val="num" w:pos="5040"/>
        </w:tabs>
        <w:ind w:left="5040" w:hanging="360"/>
      </w:pPr>
      <w:rPr>
        <w:rFonts w:ascii="Times New Roman" w:hAnsi="Times New Roman" w:hint="default"/>
      </w:rPr>
    </w:lvl>
    <w:lvl w:ilvl="7" w:tplc="F7D069BE" w:tentative="1">
      <w:start w:val="1"/>
      <w:numFmt w:val="bullet"/>
      <w:lvlText w:val="•"/>
      <w:lvlJc w:val="left"/>
      <w:pPr>
        <w:tabs>
          <w:tab w:val="num" w:pos="5760"/>
        </w:tabs>
        <w:ind w:left="5760" w:hanging="360"/>
      </w:pPr>
      <w:rPr>
        <w:rFonts w:ascii="Times New Roman" w:hAnsi="Times New Roman" w:hint="default"/>
      </w:rPr>
    </w:lvl>
    <w:lvl w:ilvl="8" w:tplc="F70C3CA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F5A3F49"/>
    <w:multiLevelType w:val="hybridMultilevel"/>
    <w:tmpl w:val="281E8B1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323E428E"/>
    <w:multiLevelType w:val="multilevel"/>
    <w:tmpl w:val="C1CAF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2243D"/>
    <w:multiLevelType w:val="hybridMultilevel"/>
    <w:tmpl w:val="E1643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21299B"/>
    <w:multiLevelType w:val="hybridMultilevel"/>
    <w:tmpl w:val="8EA4A634"/>
    <w:lvl w:ilvl="0" w:tplc="95DEDBB4">
      <w:start w:val="1"/>
      <w:numFmt w:val="bullet"/>
      <w:lvlText w:val="•"/>
      <w:lvlJc w:val="left"/>
      <w:pPr>
        <w:tabs>
          <w:tab w:val="num" w:pos="720"/>
        </w:tabs>
        <w:ind w:left="720" w:hanging="360"/>
      </w:pPr>
      <w:rPr>
        <w:rFonts w:ascii="Times New Roman" w:hAnsi="Times New Roman" w:hint="default"/>
      </w:rPr>
    </w:lvl>
    <w:lvl w:ilvl="1" w:tplc="2D52EBD6" w:tentative="1">
      <w:start w:val="1"/>
      <w:numFmt w:val="bullet"/>
      <w:lvlText w:val="•"/>
      <w:lvlJc w:val="left"/>
      <w:pPr>
        <w:tabs>
          <w:tab w:val="num" w:pos="1440"/>
        </w:tabs>
        <w:ind w:left="1440" w:hanging="360"/>
      </w:pPr>
      <w:rPr>
        <w:rFonts w:ascii="Times New Roman" w:hAnsi="Times New Roman" w:hint="default"/>
      </w:rPr>
    </w:lvl>
    <w:lvl w:ilvl="2" w:tplc="176A8A00" w:tentative="1">
      <w:start w:val="1"/>
      <w:numFmt w:val="bullet"/>
      <w:lvlText w:val="•"/>
      <w:lvlJc w:val="left"/>
      <w:pPr>
        <w:tabs>
          <w:tab w:val="num" w:pos="2160"/>
        </w:tabs>
        <w:ind w:left="2160" w:hanging="360"/>
      </w:pPr>
      <w:rPr>
        <w:rFonts w:ascii="Times New Roman" w:hAnsi="Times New Roman" w:hint="default"/>
      </w:rPr>
    </w:lvl>
    <w:lvl w:ilvl="3" w:tplc="877AF090" w:tentative="1">
      <w:start w:val="1"/>
      <w:numFmt w:val="bullet"/>
      <w:lvlText w:val="•"/>
      <w:lvlJc w:val="left"/>
      <w:pPr>
        <w:tabs>
          <w:tab w:val="num" w:pos="2880"/>
        </w:tabs>
        <w:ind w:left="2880" w:hanging="360"/>
      </w:pPr>
      <w:rPr>
        <w:rFonts w:ascii="Times New Roman" w:hAnsi="Times New Roman" w:hint="default"/>
      </w:rPr>
    </w:lvl>
    <w:lvl w:ilvl="4" w:tplc="45C03930" w:tentative="1">
      <w:start w:val="1"/>
      <w:numFmt w:val="bullet"/>
      <w:lvlText w:val="•"/>
      <w:lvlJc w:val="left"/>
      <w:pPr>
        <w:tabs>
          <w:tab w:val="num" w:pos="3600"/>
        </w:tabs>
        <w:ind w:left="3600" w:hanging="360"/>
      </w:pPr>
      <w:rPr>
        <w:rFonts w:ascii="Times New Roman" w:hAnsi="Times New Roman" w:hint="default"/>
      </w:rPr>
    </w:lvl>
    <w:lvl w:ilvl="5" w:tplc="53983F3E" w:tentative="1">
      <w:start w:val="1"/>
      <w:numFmt w:val="bullet"/>
      <w:lvlText w:val="•"/>
      <w:lvlJc w:val="left"/>
      <w:pPr>
        <w:tabs>
          <w:tab w:val="num" w:pos="4320"/>
        </w:tabs>
        <w:ind w:left="4320" w:hanging="360"/>
      </w:pPr>
      <w:rPr>
        <w:rFonts w:ascii="Times New Roman" w:hAnsi="Times New Roman" w:hint="default"/>
      </w:rPr>
    </w:lvl>
    <w:lvl w:ilvl="6" w:tplc="8D4C043C" w:tentative="1">
      <w:start w:val="1"/>
      <w:numFmt w:val="bullet"/>
      <w:lvlText w:val="•"/>
      <w:lvlJc w:val="left"/>
      <w:pPr>
        <w:tabs>
          <w:tab w:val="num" w:pos="5040"/>
        </w:tabs>
        <w:ind w:left="5040" w:hanging="360"/>
      </w:pPr>
      <w:rPr>
        <w:rFonts w:ascii="Times New Roman" w:hAnsi="Times New Roman" w:hint="default"/>
      </w:rPr>
    </w:lvl>
    <w:lvl w:ilvl="7" w:tplc="C7B62BF0" w:tentative="1">
      <w:start w:val="1"/>
      <w:numFmt w:val="bullet"/>
      <w:lvlText w:val="•"/>
      <w:lvlJc w:val="left"/>
      <w:pPr>
        <w:tabs>
          <w:tab w:val="num" w:pos="5760"/>
        </w:tabs>
        <w:ind w:left="5760" w:hanging="360"/>
      </w:pPr>
      <w:rPr>
        <w:rFonts w:ascii="Times New Roman" w:hAnsi="Times New Roman" w:hint="default"/>
      </w:rPr>
    </w:lvl>
    <w:lvl w:ilvl="8" w:tplc="DD1AB48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EBC614F"/>
    <w:multiLevelType w:val="hybridMultilevel"/>
    <w:tmpl w:val="D5E6908E"/>
    <w:lvl w:ilvl="0" w:tplc="2422A8F4">
      <w:start w:val="1"/>
      <w:numFmt w:val="bullet"/>
      <w:lvlText w:val="•"/>
      <w:lvlJc w:val="left"/>
      <w:pPr>
        <w:tabs>
          <w:tab w:val="num" w:pos="720"/>
        </w:tabs>
        <w:ind w:left="720" w:hanging="360"/>
      </w:pPr>
      <w:rPr>
        <w:rFonts w:ascii="Times New Roman" w:hAnsi="Times New Roman" w:hint="default"/>
      </w:rPr>
    </w:lvl>
    <w:lvl w:ilvl="1" w:tplc="3946B224" w:tentative="1">
      <w:start w:val="1"/>
      <w:numFmt w:val="bullet"/>
      <w:lvlText w:val="•"/>
      <w:lvlJc w:val="left"/>
      <w:pPr>
        <w:tabs>
          <w:tab w:val="num" w:pos="1440"/>
        </w:tabs>
        <w:ind w:left="1440" w:hanging="360"/>
      </w:pPr>
      <w:rPr>
        <w:rFonts w:ascii="Times New Roman" w:hAnsi="Times New Roman" w:hint="default"/>
      </w:rPr>
    </w:lvl>
    <w:lvl w:ilvl="2" w:tplc="BAEA4D0E" w:tentative="1">
      <w:start w:val="1"/>
      <w:numFmt w:val="bullet"/>
      <w:lvlText w:val="•"/>
      <w:lvlJc w:val="left"/>
      <w:pPr>
        <w:tabs>
          <w:tab w:val="num" w:pos="2160"/>
        </w:tabs>
        <w:ind w:left="2160" w:hanging="360"/>
      </w:pPr>
      <w:rPr>
        <w:rFonts w:ascii="Times New Roman" w:hAnsi="Times New Roman" w:hint="default"/>
      </w:rPr>
    </w:lvl>
    <w:lvl w:ilvl="3" w:tplc="A878B28C" w:tentative="1">
      <w:start w:val="1"/>
      <w:numFmt w:val="bullet"/>
      <w:lvlText w:val="•"/>
      <w:lvlJc w:val="left"/>
      <w:pPr>
        <w:tabs>
          <w:tab w:val="num" w:pos="2880"/>
        </w:tabs>
        <w:ind w:left="2880" w:hanging="360"/>
      </w:pPr>
      <w:rPr>
        <w:rFonts w:ascii="Times New Roman" w:hAnsi="Times New Roman" w:hint="default"/>
      </w:rPr>
    </w:lvl>
    <w:lvl w:ilvl="4" w:tplc="4C560346" w:tentative="1">
      <w:start w:val="1"/>
      <w:numFmt w:val="bullet"/>
      <w:lvlText w:val="•"/>
      <w:lvlJc w:val="left"/>
      <w:pPr>
        <w:tabs>
          <w:tab w:val="num" w:pos="3600"/>
        </w:tabs>
        <w:ind w:left="3600" w:hanging="360"/>
      </w:pPr>
      <w:rPr>
        <w:rFonts w:ascii="Times New Roman" w:hAnsi="Times New Roman" w:hint="default"/>
      </w:rPr>
    </w:lvl>
    <w:lvl w:ilvl="5" w:tplc="01709170" w:tentative="1">
      <w:start w:val="1"/>
      <w:numFmt w:val="bullet"/>
      <w:lvlText w:val="•"/>
      <w:lvlJc w:val="left"/>
      <w:pPr>
        <w:tabs>
          <w:tab w:val="num" w:pos="4320"/>
        </w:tabs>
        <w:ind w:left="4320" w:hanging="360"/>
      </w:pPr>
      <w:rPr>
        <w:rFonts w:ascii="Times New Roman" w:hAnsi="Times New Roman" w:hint="default"/>
      </w:rPr>
    </w:lvl>
    <w:lvl w:ilvl="6" w:tplc="1430E6F2" w:tentative="1">
      <w:start w:val="1"/>
      <w:numFmt w:val="bullet"/>
      <w:lvlText w:val="•"/>
      <w:lvlJc w:val="left"/>
      <w:pPr>
        <w:tabs>
          <w:tab w:val="num" w:pos="5040"/>
        </w:tabs>
        <w:ind w:left="5040" w:hanging="360"/>
      </w:pPr>
      <w:rPr>
        <w:rFonts w:ascii="Times New Roman" w:hAnsi="Times New Roman" w:hint="default"/>
      </w:rPr>
    </w:lvl>
    <w:lvl w:ilvl="7" w:tplc="568EFF02" w:tentative="1">
      <w:start w:val="1"/>
      <w:numFmt w:val="bullet"/>
      <w:lvlText w:val="•"/>
      <w:lvlJc w:val="left"/>
      <w:pPr>
        <w:tabs>
          <w:tab w:val="num" w:pos="5760"/>
        </w:tabs>
        <w:ind w:left="5760" w:hanging="360"/>
      </w:pPr>
      <w:rPr>
        <w:rFonts w:ascii="Times New Roman" w:hAnsi="Times New Roman" w:hint="default"/>
      </w:rPr>
    </w:lvl>
    <w:lvl w:ilvl="8" w:tplc="AF60A80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0BF177A"/>
    <w:multiLevelType w:val="hybridMultilevel"/>
    <w:tmpl w:val="936E7374"/>
    <w:lvl w:ilvl="0" w:tplc="FAA4279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281134F"/>
    <w:multiLevelType w:val="hybridMultilevel"/>
    <w:tmpl w:val="D942432A"/>
    <w:lvl w:ilvl="0" w:tplc="FF2E258C">
      <w:start w:val="1"/>
      <w:numFmt w:val="bullet"/>
      <w:lvlText w:val="•"/>
      <w:lvlJc w:val="left"/>
      <w:pPr>
        <w:tabs>
          <w:tab w:val="num" w:pos="720"/>
        </w:tabs>
        <w:ind w:left="720" w:hanging="360"/>
      </w:pPr>
      <w:rPr>
        <w:rFonts w:ascii="Times New Roman" w:hAnsi="Times New Roman" w:hint="default"/>
      </w:rPr>
    </w:lvl>
    <w:lvl w:ilvl="1" w:tplc="DFFC4F4C" w:tentative="1">
      <w:start w:val="1"/>
      <w:numFmt w:val="bullet"/>
      <w:lvlText w:val="•"/>
      <w:lvlJc w:val="left"/>
      <w:pPr>
        <w:tabs>
          <w:tab w:val="num" w:pos="1440"/>
        </w:tabs>
        <w:ind w:left="1440" w:hanging="360"/>
      </w:pPr>
      <w:rPr>
        <w:rFonts w:ascii="Times New Roman" w:hAnsi="Times New Roman" w:hint="default"/>
      </w:rPr>
    </w:lvl>
    <w:lvl w:ilvl="2" w:tplc="78F4CD1C" w:tentative="1">
      <w:start w:val="1"/>
      <w:numFmt w:val="bullet"/>
      <w:lvlText w:val="•"/>
      <w:lvlJc w:val="left"/>
      <w:pPr>
        <w:tabs>
          <w:tab w:val="num" w:pos="2160"/>
        </w:tabs>
        <w:ind w:left="2160" w:hanging="360"/>
      </w:pPr>
      <w:rPr>
        <w:rFonts w:ascii="Times New Roman" w:hAnsi="Times New Roman" w:hint="default"/>
      </w:rPr>
    </w:lvl>
    <w:lvl w:ilvl="3" w:tplc="2012BD84" w:tentative="1">
      <w:start w:val="1"/>
      <w:numFmt w:val="bullet"/>
      <w:lvlText w:val="•"/>
      <w:lvlJc w:val="left"/>
      <w:pPr>
        <w:tabs>
          <w:tab w:val="num" w:pos="2880"/>
        </w:tabs>
        <w:ind w:left="2880" w:hanging="360"/>
      </w:pPr>
      <w:rPr>
        <w:rFonts w:ascii="Times New Roman" w:hAnsi="Times New Roman" w:hint="default"/>
      </w:rPr>
    </w:lvl>
    <w:lvl w:ilvl="4" w:tplc="2390B354" w:tentative="1">
      <w:start w:val="1"/>
      <w:numFmt w:val="bullet"/>
      <w:lvlText w:val="•"/>
      <w:lvlJc w:val="left"/>
      <w:pPr>
        <w:tabs>
          <w:tab w:val="num" w:pos="3600"/>
        </w:tabs>
        <w:ind w:left="3600" w:hanging="360"/>
      </w:pPr>
      <w:rPr>
        <w:rFonts w:ascii="Times New Roman" w:hAnsi="Times New Roman" w:hint="default"/>
      </w:rPr>
    </w:lvl>
    <w:lvl w:ilvl="5" w:tplc="1130DED8" w:tentative="1">
      <w:start w:val="1"/>
      <w:numFmt w:val="bullet"/>
      <w:lvlText w:val="•"/>
      <w:lvlJc w:val="left"/>
      <w:pPr>
        <w:tabs>
          <w:tab w:val="num" w:pos="4320"/>
        </w:tabs>
        <w:ind w:left="4320" w:hanging="360"/>
      </w:pPr>
      <w:rPr>
        <w:rFonts w:ascii="Times New Roman" w:hAnsi="Times New Roman" w:hint="default"/>
      </w:rPr>
    </w:lvl>
    <w:lvl w:ilvl="6" w:tplc="B70483DA" w:tentative="1">
      <w:start w:val="1"/>
      <w:numFmt w:val="bullet"/>
      <w:lvlText w:val="•"/>
      <w:lvlJc w:val="left"/>
      <w:pPr>
        <w:tabs>
          <w:tab w:val="num" w:pos="5040"/>
        </w:tabs>
        <w:ind w:left="5040" w:hanging="360"/>
      </w:pPr>
      <w:rPr>
        <w:rFonts w:ascii="Times New Roman" w:hAnsi="Times New Roman" w:hint="default"/>
      </w:rPr>
    </w:lvl>
    <w:lvl w:ilvl="7" w:tplc="C0C6F140" w:tentative="1">
      <w:start w:val="1"/>
      <w:numFmt w:val="bullet"/>
      <w:lvlText w:val="•"/>
      <w:lvlJc w:val="left"/>
      <w:pPr>
        <w:tabs>
          <w:tab w:val="num" w:pos="5760"/>
        </w:tabs>
        <w:ind w:left="5760" w:hanging="360"/>
      </w:pPr>
      <w:rPr>
        <w:rFonts w:ascii="Times New Roman" w:hAnsi="Times New Roman" w:hint="default"/>
      </w:rPr>
    </w:lvl>
    <w:lvl w:ilvl="8" w:tplc="EBE40C5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5AF19A0"/>
    <w:multiLevelType w:val="hybridMultilevel"/>
    <w:tmpl w:val="219262C6"/>
    <w:lvl w:ilvl="0" w:tplc="090E9D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30397C"/>
    <w:multiLevelType w:val="hybridMultilevel"/>
    <w:tmpl w:val="0988139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15:restartNumberingAfterBreak="0">
    <w:nsid w:val="52414526"/>
    <w:multiLevelType w:val="hybridMultilevel"/>
    <w:tmpl w:val="F87685DE"/>
    <w:lvl w:ilvl="0" w:tplc="14241836">
      <w:start w:val="1"/>
      <w:numFmt w:val="bullet"/>
      <w:lvlText w:val="•"/>
      <w:lvlJc w:val="left"/>
      <w:pPr>
        <w:tabs>
          <w:tab w:val="num" w:pos="720"/>
        </w:tabs>
        <w:ind w:left="720" w:hanging="360"/>
      </w:pPr>
      <w:rPr>
        <w:rFonts w:ascii="Times New Roman" w:hAnsi="Times New Roman" w:hint="default"/>
      </w:rPr>
    </w:lvl>
    <w:lvl w:ilvl="1" w:tplc="3FD077B0" w:tentative="1">
      <w:start w:val="1"/>
      <w:numFmt w:val="bullet"/>
      <w:lvlText w:val="•"/>
      <w:lvlJc w:val="left"/>
      <w:pPr>
        <w:tabs>
          <w:tab w:val="num" w:pos="1440"/>
        </w:tabs>
        <w:ind w:left="1440" w:hanging="360"/>
      </w:pPr>
      <w:rPr>
        <w:rFonts w:ascii="Times New Roman" w:hAnsi="Times New Roman" w:hint="default"/>
      </w:rPr>
    </w:lvl>
    <w:lvl w:ilvl="2" w:tplc="2E283108" w:tentative="1">
      <w:start w:val="1"/>
      <w:numFmt w:val="bullet"/>
      <w:lvlText w:val="•"/>
      <w:lvlJc w:val="left"/>
      <w:pPr>
        <w:tabs>
          <w:tab w:val="num" w:pos="2160"/>
        </w:tabs>
        <w:ind w:left="2160" w:hanging="360"/>
      </w:pPr>
      <w:rPr>
        <w:rFonts w:ascii="Times New Roman" w:hAnsi="Times New Roman" w:hint="default"/>
      </w:rPr>
    </w:lvl>
    <w:lvl w:ilvl="3" w:tplc="7A5C8B8C" w:tentative="1">
      <w:start w:val="1"/>
      <w:numFmt w:val="bullet"/>
      <w:lvlText w:val="•"/>
      <w:lvlJc w:val="left"/>
      <w:pPr>
        <w:tabs>
          <w:tab w:val="num" w:pos="2880"/>
        </w:tabs>
        <w:ind w:left="2880" w:hanging="360"/>
      </w:pPr>
      <w:rPr>
        <w:rFonts w:ascii="Times New Roman" w:hAnsi="Times New Roman" w:hint="default"/>
      </w:rPr>
    </w:lvl>
    <w:lvl w:ilvl="4" w:tplc="1592F082" w:tentative="1">
      <w:start w:val="1"/>
      <w:numFmt w:val="bullet"/>
      <w:lvlText w:val="•"/>
      <w:lvlJc w:val="left"/>
      <w:pPr>
        <w:tabs>
          <w:tab w:val="num" w:pos="3600"/>
        </w:tabs>
        <w:ind w:left="3600" w:hanging="360"/>
      </w:pPr>
      <w:rPr>
        <w:rFonts w:ascii="Times New Roman" w:hAnsi="Times New Roman" w:hint="default"/>
      </w:rPr>
    </w:lvl>
    <w:lvl w:ilvl="5" w:tplc="583692FE" w:tentative="1">
      <w:start w:val="1"/>
      <w:numFmt w:val="bullet"/>
      <w:lvlText w:val="•"/>
      <w:lvlJc w:val="left"/>
      <w:pPr>
        <w:tabs>
          <w:tab w:val="num" w:pos="4320"/>
        </w:tabs>
        <w:ind w:left="4320" w:hanging="360"/>
      </w:pPr>
      <w:rPr>
        <w:rFonts w:ascii="Times New Roman" w:hAnsi="Times New Roman" w:hint="default"/>
      </w:rPr>
    </w:lvl>
    <w:lvl w:ilvl="6" w:tplc="828CD778" w:tentative="1">
      <w:start w:val="1"/>
      <w:numFmt w:val="bullet"/>
      <w:lvlText w:val="•"/>
      <w:lvlJc w:val="left"/>
      <w:pPr>
        <w:tabs>
          <w:tab w:val="num" w:pos="5040"/>
        </w:tabs>
        <w:ind w:left="5040" w:hanging="360"/>
      </w:pPr>
      <w:rPr>
        <w:rFonts w:ascii="Times New Roman" w:hAnsi="Times New Roman" w:hint="default"/>
      </w:rPr>
    </w:lvl>
    <w:lvl w:ilvl="7" w:tplc="A922E7F4" w:tentative="1">
      <w:start w:val="1"/>
      <w:numFmt w:val="bullet"/>
      <w:lvlText w:val="•"/>
      <w:lvlJc w:val="left"/>
      <w:pPr>
        <w:tabs>
          <w:tab w:val="num" w:pos="5760"/>
        </w:tabs>
        <w:ind w:left="5760" w:hanging="360"/>
      </w:pPr>
      <w:rPr>
        <w:rFonts w:ascii="Times New Roman" w:hAnsi="Times New Roman" w:hint="default"/>
      </w:rPr>
    </w:lvl>
    <w:lvl w:ilvl="8" w:tplc="2B047D9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AA36122"/>
    <w:multiLevelType w:val="multilevel"/>
    <w:tmpl w:val="7A2A26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CD57CD"/>
    <w:multiLevelType w:val="hybridMultilevel"/>
    <w:tmpl w:val="1A349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4490BCF"/>
    <w:multiLevelType w:val="hybridMultilevel"/>
    <w:tmpl w:val="5120BF08"/>
    <w:lvl w:ilvl="0" w:tplc="380E0170">
      <w:start w:val="1"/>
      <w:numFmt w:val="bullet"/>
      <w:lvlText w:val="•"/>
      <w:lvlJc w:val="left"/>
      <w:pPr>
        <w:tabs>
          <w:tab w:val="num" w:pos="720"/>
        </w:tabs>
        <w:ind w:left="720" w:hanging="360"/>
      </w:pPr>
      <w:rPr>
        <w:rFonts w:ascii="Times New Roman" w:hAnsi="Times New Roman" w:hint="default"/>
      </w:rPr>
    </w:lvl>
    <w:lvl w:ilvl="1" w:tplc="6A8CF2DA" w:tentative="1">
      <w:start w:val="1"/>
      <w:numFmt w:val="bullet"/>
      <w:lvlText w:val="•"/>
      <w:lvlJc w:val="left"/>
      <w:pPr>
        <w:tabs>
          <w:tab w:val="num" w:pos="1440"/>
        </w:tabs>
        <w:ind w:left="1440" w:hanging="360"/>
      </w:pPr>
      <w:rPr>
        <w:rFonts w:ascii="Times New Roman" w:hAnsi="Times New Roman" w:hint="default"/>
      </w:rPr>
    </w:lvl>
    <w:lvl w:ilvl="2" w:tplc="49860000" w:tentative="1">
      <w:start w:val="1"/>
      <w:numFmt w:val="bullet"/>
      <w:lvlText w:val="•"/>
      <w:lvlJc w:val="left"/>
      <w:pPr>
        <w:tabs>
          <w:tab w:val="num" w:pos="2160"/>
        </w:tabs>
        <w:ind w:left="2160" w:hanging="360"/>
      </w:pPr>
      <w:rPr>
        <w:rFonts w:ascii="Times New Roman" w:hAnsi="Times New Roman" w:hint="default"/>
      </w:rPr>
    </w:lvl>
    <w:lvl w:ilvl="3" w:tplc="61045D70" w:tentative="1">
      <w:start w:val="1"/>
      <w:numFmt w:val="bullet"/>
      <w:lvlText w:val="•"/>
      <w:lvlJc w:val="left"/>
      <w:pPr>
        <w:tabs>
          <w:tab w:val="num" w:pos="2880"/>
        </w:tabs>
        <w:ind w:left="2880" w:hanging="360"/>
      </w:pPr>
      <w:rPr>
        <w:rFonts w:ascii="Times New Roman" w:hAnsi="Times New Roman" w:hint="default"/>
      </w:rPr>
    </w:lvl>
    <w:lvl w:ilvl="4" w:tplc="0354EB1E" w:tentative="1">
      <w:start w:val="1"/>
      <w:numFmt w:val="bullet"/>
      <w:lvlText w:val="•"/>
      <w:lvlJc w:val="left"/>
      <w:pPr>
        <w:tabs>
          <w:tab w:val="num" w:pos="3600"/>
        </w:tabs>
        <w:ind w:left="3600" w:hanging="360"/>
      </w:pPr>
      <w:rPr>
        <w:rFonts w:ascii="Times New Roman" w:hAnsi="Times New Roman" w:hint="default"/>
      </w:rPr>
    </w:lvl>
    <w:lvl w:ilvl="5" w:tplc="74904D2A" w:tentative="1">
      <w:start w:val="1"/>
      <w:numFmt w:val="bullet"/>
      <w:lvlText w:val="•"/>
      <w:lvlJc w:val="left"/>
      <w:pPr>
        <w:tabs>
          <w:tab w:val="num" w:pos="4320"/>
        </w:tabs>
        <w:ind w:left="4320" w:hanging="360"/>
      </w:pPr>
      <w:rPr>
        <w:rFonts w:ascii="Times New Roman" w:hAnsi="Times New Roman" w:hint="default"/>
      </w:rPr>
    </w:lvl>
    <w:lvl w:ilvl="6" w:tplc="A8566AC8" w:tentative="1">
      <w:start w:val="1"/>
      <w:numFmt w:val="bullet"/>
      <w:lvlText w:val="•"/>
      <w:lvlJc w:val="left"/>
      <w:pPr>
        <w:tabs>
          <w:tab w:val="num" w:pos="5040"/>
        </w:tabs>
        <w:ind w:left="5040" w:hanging="360"/>
      </w:pPr>
      <w:rPr>
        <w:rFonts w:ascii="Times New Roman" w:hAnsi="Times New Roman" w:hint="default"/>
      </w:rPr>
    </w:lvl>
    <w:lvl w:ilvl="7" w:tplc="1894628C" w:tentative="1">
      <w:start w:val="1"/>
      <w:numFmt w:val="bullet"/>
      <w:lvlText w:val="•"/>
      <w:lvlJc w:val="left"/>
      <w:pPr>
        <w:tabs>
          <w:tab w:val="num" w:pos="5760"/>
        </w:tabs>
        <w:ind w:left="5760" w:hanging="360"/>
      </w:pPr>
      <w:rPr>
        <w:rFonts w:ascii="Times New Roman" w:hAnsi="Times New Roman" w:hint="default"/>
      </w:rPr>
    </w:lvl>
    <w:lvl w:ilvl="8" w:tplc="0FB4DB0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E823BA4"/>
    <w:multiLevelType w:val="hybridMultilevel"/>
    <w:tmpl w:val="8832811A"/>
    <w:lvl w:ilvl="0" w:tplc="3184F412">
      <w:start w:val="1"/>
      <w:numFmt w:val="bullet"/>
      <w:lvlText w:val="•"/>
      <w:lvlJc w:val="left"/>
      <w:pPr>
        <w:tabs>
          <w:tab w:val="num" w:pos="360"/>
        </w:tabs>
        <w:ind w:left="360" w:hanging="360"/>
      </w:pPr>
      <w:rPr>
        <w:rFonts w:ascii="Times New Roman" w:hAnsi="Times New Roman" w:hint="default"/>
      </w:rPr>
    </w:lvl>
    <w:lvl w:ilvl="1" w:tplc="FE584204" w:tentative="1">
      <w:start w:val="1"/>
      <w:numFmt w:val="bullet"/>
      <w:lvlText w:val="•"/>
      <w:lvlJc w:val="left"/>
      <w:pPr>
        <w:tabs>
          <w:tab w:val="num" w:pos="1080"/>
        </w:tabs>
        <w:ind w:left="1080" w:hanging="360"/>
      </w:pPr>
      <w:rPr>
        <w:rFonts w:ascii="Times New Roman" w:hAnsi="Times New Roman" w:hint="default"/>
      </w:rPr>
    </w:lvl>
    <w:lvl w:ilvl="2" w:tplc="F7E6DEFA" w:tentative="1">
      <w:start w:val="1"/>
      <w:numFmt w:val="bullet"/>
      <w:lvlText w:val="•"/>
      <w:lvlJc w:val="left"/>
      <w:pPr>
        <w:tabs>
          <w:tab w:val="num" w:pos="1800"/>
        </w:tabs>
        <w:ind w:left="1800" w:hanging="360"/>
      </w:pPr>
      <w:rPr>
        <w:rFonts w:ascii="Times New Roman" w:hAnsi="Times New Roman" w:hint="default"/>
      </w:rPr>
    </w:lvl>
    <w:lvl w:ilvl="3" w:tplc="E09A11C8" w:tentative="1">
      <w:start w:val="1"/>
      <w:numFmt w:val="bullet"/>
      <w:lvlText w:val="•"/>
      <w:lvlJc w:val="left"/>
      <w:pPr>
        <w:tabs>
          <w:tab w:val="num" w:pos="2520"/>
        </w:tabs>
        <w:ind w:left="2520" w:hanging="360"/>
      </w:pPr>
      <w:rPr>
        <w:rFonts w:ascii="Times New Roman" w:hAnsi="Times New Roman" w:hint="default"/>
      </w:rPr>
    </w:lvl>
    <w:lvl w:ilvl="4" w:tplc="76F4DD2A" w:tentative="1">
      <w:start w:val="1"/>
      <w:numFmt w:val="bullet"/>
      <w:lvlText w:val="•"/>
      <w:lvlJc w:val="left"/>
      <w:pPr>
        <w:tabs>
          <w:tab w:val="num" w:pos="3240"/>
        </w:tabs>
        <w:ind w:left="3240" w:hanging="360"/>
      </w:pPr>
      <w:rPr>
        <w:rFonts w:ascii="Times New Roman" w:hAnsi="Times New Roman" w:hint="default"/>
      </w:rPr>
    </w:lvl>
    <w:lvl w:ilvl="5" w:tplc="22E07682" w:tentative="1">
      <w:start w:val="1"/>
      <w:numFmt w:val="bullet"/>
      <w:lvlText w:val="•"/>
      <w:lvlJc w:val="left"/>
      <w:pPr>
        <w:tabs>
          <w:tab w:val="num" w:pos="3960"/>
        </w:tabs>
        <w:ind w:left="3960" w:hanging="360"/>
      </w:pPr>
      <w:rPr>
        <w:rFonts w:ascii="Times New Roman" w:hAnsi="Times New Roman" w:hint="default"/>
      </w:rPr>
    </w:lvl>
    <w:lvl w:ilvl="6" w:tplc="D6286880" w:tentative="1">
      <w:start w:val="1"/>
      <w:numFmt w:val="bullet"/>
      <w:lvlText w:val="•"/>
      <w:lvlJc w:val="left"/>
      <w:pPr>
        <w:tabs>
          <w:tab w:val="num" w:pos="4680"/>
        </w:tabs>
        <w:ind w:left="4680" w:hanging="360"/>
      </w:pPr>
      <w:rPr>
        <w:rFonts w:ascii="Times New Roman" w:hAnsi="Times New Roman" w:hint="default"/>
      </w:rPr>
    </w:lvl>
    <w:lvl w:ilvl="7" w:tplc="767604F8" w:tentative="1">
      <w:start w:val="1"/>
      <w:numFmt w:val="bullet"/>
      <w:lvlText w:val="•"/>
      <w:lvlJc w:val="left"/>
      <w:pPr>
        <w:tabs>
          <w:tab w:val="num" w:pos="5400"/>
        </w:tabs>
        <w:ind w:left="5400" w:hanging="360"/>
      </w:pPr>
      <w:rPr>
        <w:rFonts w:ascii="Times New Roman" w:hAnsi="Times New Roman" w:hint="default"/>
      </w:rPr>
    </w:lvl>
    <w:lvl w:ilvl="8" w:tplc="D9704012"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706D4E4B"/>
    <w:multiLevelType w:val="hybridMultilevel"/>
    <w:tmpl w:val="9AF661E6"/>
    <w:lvl w:ilvl="0" w:tplc="1D84B48E">
      <w:start w:val="1"/>
      <w:numFmt w:val="bullet"/>
      <w:lvlText w:val="•"/>
      <w:lvlJc w:val="left"/>
      <w:pPr>
        <w:tabs>
          <w:tab w:val="num" w:pos="720"/>
        </w:tabs>
        <w:ind w:left="720" w:hanging="360"/>
      </w:pPr>
      <w:rPr>
        <w:rFonts w:ascii="Times New Roman" w:hAnsi="Times New Roman" w:hint="default"/>
      </w:rPr>
    </w:lvl>
    <w:lvl w:ilvl="1" w:tplc="23A4D1CC" w:tentative="1">
      <w:start w:val="1"/>
      <w:numFmt w:val="bullet"/>
      <w:lvlText w:val="•"/>
      <w:lvlJc w:val="left"/>
      <w:pPr>
        <w:tabs>
          <w:tab w:val="num" w:pos="1440"/>
        </w:tabs>
        <w:ind w:left="1440" w:hanging="360"/>
      </w:pPr>
      <w:rPr>
        <w:rFonts w:ascii="Times New Roman" w:hAnsi="Times New Roman" w:hint="default"/>
      </w:rPr>
    </w:lvl>
    <w:lvl w:ilvl="2" w:tplc="102A7288" w:tentative="1">
      <w:start w:val="1"/>
      <w:numFmt w:val="bullet"/>
      <w:lvlText w:val="•"/>
      <w:lvlJc w:val="left"/>
      <w:pPr>
        <w:tabs>
          <w:tab w:val="num" w:pos="2160"/>
        </w:tabs>
        <w:ind w:left="2160" w:hanging="360"/>
      </w:pPr>
      <w:rPr>
        <w:rFonts w:ascii="Times New Roman" w:hAnsi="Times New Roman" w:hint="default"/>
      </w:rPr>
    </w:lvl>
    <w:lvl w:ilvl="3" w:tplc="411C63B4" w:tentative="1">
      <w:start w:val="1"/>
      <w:numFmt w:val="bullet"/>
      <w:lvlText w:val="•"/>
      <w:lvlJc w:val="left"/>
      <w:pPr>
        <w:tabs>
          <w:tab w:val="num" w:pos="2880"/>
        </w:tabs>
        <w:ind w:left="2880" w:hanging="360"/>
      </w:pPr>
      <w:rPr>
        <w:rFonts w:ascii="Times New Roman" w:hAnsi="Times New Roman" w:hint="default"/>
      </w:rPr>
    </w:lvl>
    <w:lvl w:ilvl="4" w:tplc="6C5A535C" w:tentative="1">
      <w:start w:val="1"/>
      <w:numFmt w:val="bullet"/>
      <w:lvlText w:val="•"/>
      <w:lvlJc w:val="left"/>
      <w:pPr>
        <w:tabs>
          <w:tab w:val="num" w:pos="3600"/>
        </w:tabs>
        <w:ind w:left="3600" w:hanging="360"/>
      </w:pPr>
      <w:rPr>
        <w:rFonts w:ascii="Times New Roman" w:hAnsi="Times New Roman" w:hint="default"/>
      </w:rPr>
    </w:lvl>
    <w:lvl w:ilvl="5" w:tplc="7346C736" w:tentative="1">
      <w:start w:val="1"/>
      <w:numFmt w:val="bullet"/>
      <w:lvlText w:val="•"/>
      <w:lvlJc w:val="left"/>
      <w:pPr>
        <w:tabs>
          <w:tab w:val="num" w:pos="4320"/>
        </w:tabs>
        <w:ind w:left="4320" w:hanging="360"/>
      </w:pPr>
      <w:rPr>
        <w:rFonts w:ascii="Times New Roman" w:hAnsi="Times New Roman" w:hint="default"/>
      </w:rPr>
    </w:lvl>
    <w:lvl w:ilvl="6" w:tplc="E25A27E2" w:tentative="1">
      <w:start w:val="1"/>
      <w:numFmt w:val="bullet"/>
      <w:lvlText w:val="•"/>
      <w:lvlJc w:val="left"/>
      <w:pPr>
        <w:tabs>
          <w:tab w:val="num" w:pos="5040"/>
        </w:tabs>
        <w:ind w:left="5040" w:hanging="360"/>
      </w:pPr>
      <w:rPr>
        <w:rFonts w:ascii="Times New Roman" w:hAnsi="Times New Roman" w:hint="default"/>
      </w:rPr>
    </w:lvl>
    <w:lvl w:ilvl="7" w:tplc="905C9ECC" w:tentative="1">
      <w:start w:val="1"/>
      <w:numFmt w:val="bullet"/>
      <w:lvlText w:val="•"/>
      <w:lvlJc w:val="left"/>
      <w:pPr>
        <w:tabs>
          <w:tab w:val="num" w:pos="5760"/>
        </w:tabs>
        <w:ind w:left="5760" w:hanging="360"/>
      </w:pPr>
      <w:rPr>
        <w:rFonts w:ascii="Times New Roman" w:hAnsi="Times New Roman" w:hint="default"/>
      </w:rPr>
    </w:lvl>
    <w:lvl w:ilvl="8" w:tplc="63286E8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1372BDB"/>
    <w:multiLevelType w:val="hybridMultilevel"/>
    <w:tmpl w:val="7332C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C93F85"/>
    <w:multiLevelType w:val="hybridMultilevel"/>
    <w:tmpl w:val="608EBB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FED0183"/>
    <w:multiLevelType w:val="hybridMultilevel"/>
    <w:tmpl w:val="36D028F6"/>
    <w:lvl w:ilvl="0" w:tplc="EAC89B2E">
      <w:start w:val="1"/>
      <w:numFmt w:val="bullet"/>
      <w:lvlText w:val="•"/>
      <w:lvlJc w:val="left"/>
      <w:pPr>
        <w:tabs>
          <w:tab w:val="num" w:pos="720"/>
        </w:tabs>
        <w:ind w:left="720" w:hanging="360"/>
      </w:pPr>
      <w:rPr>
        <w:rFonts w:ascii="Times New Roman" w:hAnsi="Times New Roman" w:hint="default"/>
      </w:rPr>
    </w:lvl>
    <w:lvl w:ilvl="1" w:tplc="DB1A1D24" w:tentative="1">
      <w:start w:val="1"/>
      <w:numFmt w:val="bullet"/>
      <w:lvlText w:val="•"/>
      <w:lvlJc w:val="left"/>
      <w:pPr>
        <w:tabs>
          <w:tab w:val="num" w:pos="1440"/>
        </w:tabs>
        <w:ind w:left="1440" w:hanging="360"/>
      </w:pPr>
      <w:rPr>
        <w:rFonts w:ascii="Times New Roman" w:hAnsi="Times New Roman" w:hint="default"/>
      </w:rPr>
    </w:lvl>
    <w:lvl w:ilvl="2" w:tplc="54465E66" w:tentative="1">
      <w:start w:val="1"/>
      <w:numFmt w:val="bullet"/>
      <w:lvlText w:val="•"/>
      <w:lvlJc w:val="left"/>
      <w:pPr>
        <w:tabs>
          <w:tab w:val="num" w:pos="2160"/>
        </w:tabs>
        <w:ind w:left="2160" w:hanging="360"/>
      </w:pPr>
      <w:rPr>
        <w:rFonts w:ascii="Times New Roman" w:hAnsi="Times New Roman" w:hint="default"/>
      </w:rPr>
    </w:lvl>
    <w:lvl w:ilvl="3" w:tplc="CC602A44" w:tentative="1">
      <w:start w:val="1"/>
      <w:numFmt w:val="bullet"/>
      <w:lvlText w:val="•"/>
      <w:lvlJc w:val="left"/>
      <w:pPr>
        <w:tabs>
          <w:tab w:val="num" w:pos="2880"/>
        </w:tabs>
        <w:ind w:left="2880" w:hanging="360"/>
      </w:pPr>
      <w:rPr>
        <w:rFonts w:ascii="Times New Roman" w:hAnsi="Times New Roman" w:hint="default"/>
      </w:rPr>
    </w:lvl>
    <w:lvl w:ilvl="4" w:tplc="BA48F062" w:tentative="1">
      <w:start w:val="1"/>
      <w:numFmt w:val="bullet"/>
      <w:lvlText w:val="•"/>
      <w:lvlJc w:val="left"/>
      <w:pPr>
        <w:tabs>
          <w:tab w:val="num" w:pos="3600"/>
        </w:tabs>
        <w:ind w:left="3600" w:hanging="360"/>
      </w:pPr>
      <w:rPr>
        <w:rFonts w:ascii="Times New Roman" w:hAnsi="Times New Roman" w:hint="default"/>
      </w:rPr>
    </w:lvl>
    <w:lvl w:ilvl="5" w:tplc="5E1CF356" w:tentative="1">
      <w:start w:val="1"/>
      <w:numFmt w:val="bullet"/>
      <w:lvlText w:val="•"/>
      <w:lvlJc w:val="left"/>
      <w:pPr>
        <w:tabs>
          <w:tab w:val="num" w:pos="4320"/>
        </w:tabs>
        <w:ind w:left="4320" w:hanging="360"/>
      </w:pPr>
      <w:rPr>
        <w:rFonts w:ascii="Times New Roman" w:hAnsi="Times New Roman" w:hint="default"/>
      </w:rPr>
    </w:lvl>
    <w:lvl w:ilvl="6" w:tplc="B20CFCF6" w:tentative="1">
      <w:start w:val="1"/>
      <w:numFmt w:val="bullet"/>
      <w:lvlText w:val="•"/>
      <w:lvlJc w:val="left"/>
      <w:pPr>
        <w:tabs>
          <w:tab w:val="num" w:pos="5040"/>
        </w:tabs>
        <w:ind w:left="5040" w:hanging="360"/>
      </w:pPr>
      <w:rPr>
        <w:rFonts w:ascii="Times New Roman" w:hAnsi="Times New Roman" w:hint="default"/>
      </w:rPr>
    </w:lvl>
    <w:lvl w:ilvl="7" w:tplc="2342F6DA" w:tentative="1">
      <w:start w:val="1"/>
      <w:numFmt w:val="bullet"/>
      <w:lvlText w:val="•"/>
      <w:lvlJc w:val="left"/>
      <w:pPr>
        <w:tabs>
          <w:tab w:val="num" w:pos="5760"/>
        </w:tabs>
        <w:ind w:left="5760" w:hanging="360"/>
      </w:pPr>
      <w:rPr>
        <w:rFonts w:ascii="Times New Roman" w:hAnsi="Times New Roman" w:hint="default"/>
      </w:rPr>
    </w:lvl>
    <w:lvl w:ilvl="8" w:tplc="91AA88C8"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24"/>
  </w:num>
  <w:num w:numId="3">
    <w:abstractNumId w:val="23"/>
  </w:num>
  <w:num w:numId="4">
    <w:abstractNumId w:val="19"/>
  </w:num>
  <w:num w:numId="5">
    <w:abstractNumId w:val="1"/>
  </w:num>
  <w:num w:numId="6">
    <w:abstractNumId w:val="5"/>
  </w:num>
  <w:num w:numId="7">
    <w:abstractNumId w:val="8"/>
  </w:num>
  <w:num w:numId="8">
    <w:abstractNumId w:val="18"/>
  </w:num>
  <w:num w:numId="9">
    <w:abstractNumId w:val="2"/>
  </w:num>
  <w:num w:numId="10">
    <w:abstractNumId w:val="13"/>
  </w:num>
  <w:num w:numId="11">
    <w:abstractNumId w:val="6"/>
  </w:num>
  <w:num w:numId="12">
    <w:abstractNumId w:val="4"/>
  </w:num>
  <w:num w:numId="13">
    <w:abstractNumId w:val="10"/>
  </w:num>
  <w:num w:numId="14">
    <w:abstractNumId w:val="16"/>
  </w:num>
  <w:num w:numId="15">
    <w:abstractNumId w:val="9"/>
  </w:num>
  <w:num w:numId="16">
    <w:abstractNumId w:val="3"/>
  </w:num>
  <w:num w:numId="17">
    <w:abstractNumId w:val="0"/>
  </w:num>
  <w:num w:numId="18">
    <w:abstractNumId w:val="12"/>
  </w:num>
  <w:num w:numId="19">
    <w:abstractNumId w:val="7"/>
  </w:num>
  <w:num w:numId="20">
    <w:abstractNumId w:val="21"/>
  </w:num>
  <w:num w:numId="21">
    <w:abstractNumId w:val="20"/>
  </w:num>
  <w:num w:numId="22">
    <w:abstractNumId w:val="14"/>
  </w:num>
  <w:num w:numId="23">
    <w:abstractNumId w:val="22"/>
  </w:num>
  <w:num w:numId="24">
    <w:abstractNumId w:val="11"/>
  </w:num>
  <w:num w:numId="25">
    <w:abstractNumId w:val="1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551"/>
    <w:rsid w:val="000006F7"/>
    <w:rsid w:val="00002911"/>
    <w:rsid w:val="00002B04"/>
    <w:rsid w:val="000036BC"/>
    <w:rsid w:val="00003D85"/>
    <w:rsid w:val="000046A3"/>
    <w:rsid w:val="000064D0"/>
    <w:rsid w:val="00006D62"/>
    <w:rsid w:val="00006F56"/>
    <w:rsid w:val="000128A4"/>
    <w:rsid w:val="00012915"/>
    <w:rsid w:val="00015641"/>
    <w:rsid w:val="0001583C"/>
    <w:rsid w:val="00015A1D"/>
    <w:rsid w:val="00015ADF"/>
    <w:rsid w:val="00015C46"/>
    <w:rsid w:val="00016CB7"/>
    <w:rsid w:val="00016EFA"/>
    <w:rsid w:val="000201A6"/>
    <w:rsid w:val="00020E9E"/>
    <w:rsid w:val="0002147F"/>
    <w:rsid w:val="00021679"/>
    <w:rsid w:val="00022D04"/>
    <w:rsid w:val="00022E0F"/>
    <w:rsid w:val="0002516A"/>
    <w:rsid w:val="0002617F"/>
    <w:rsid w:val="00030873"/>
    <w:rsid w:val="0003182A"/>
    <w:rsid w:val="00035D55"/>
    <w:rsid w:val="0003664B"/>
    <w:rsid w:val="00037349"/>
    <w:rsid w:val="0004059D"/>
    <w:rsid w:val="00040EA7"/>
    <w:rsid w:val="000415EE"/>
    <w:rsid w:val="00043AF8"/>
    <w:rsid w:val="00044425"/>
    <w:rsid w:val="00044D67"/>
    <w:rsid w:val="0005037F"/>
    <w:rsid w:val="00051A5B"/>
    <w:rsid w:val="000527C7"/>
    <w:rsid w:val="00052F73"/>
    <w:rsid w:val="00053134"/>
    <w:rsid w:val="0005681D"/>
    <w:rsid w:val="00056C17"/>
    <w:rsid w:val="000604FA"/>
    <w:rsid w:val="0006179E"/>
    <w:rsid w:val="0006257E"/>
    <w:rsid w:val="000631D0"/>
    <w:rsid w:val="00066756"/>
    <w:rsid w:val="00070009"/>
    <w:rsid w:val="00072302"/>
    <w:rsid w:val="00072D5A"/>
    <w:rsid w:val="000730F7"/>
    <w:rsid w:val="000739A6"/>
    <w:rsid w:val="000757BC"/>
    <w:rsid w:val="000761E6"/>
    <w:rsid w:val="000776D9"/>
    <w:rsid w:val="000806F0"/>
    <w:rsid w:val="0008172A"/>
    <w:rsid w:val="000839AB"/>
    <w:rsid w:val="000839DF"/>
    <w:rsid w:val="00083A00"/>
    <w:rsid w:val="000845DD"/>
    <w:rsid w:val="00085B24"/>
    <w:rsid w:val="00086636"/>
    <w:rsid w:val="00092180"/>
    <w:rsid w:val="00092DA0"/>
    <w:rsid w:val="000940EF"/>
    <w:rsid w:val="00094B08"/>
    <w:rsid w:val="00096BB0"/>
    <w:rsid w:val="00096F46"/>
    <w:rsid w:val="00097089"/>
    <w:rsid w:val="000A05B1"/>
    <w:rsid w:val="000A0F93"/>
    <w:rsid w:val="000A3928"/>
    <w:rsid w:val="000A4777"/>
    <w:rsid w:val="000A56A0"/>
    <w:rsid w:val="000A61F1"/>
    <w:rsid w:val="000A6FD5"/>
    <w:rsid w:val="000B1BB3"/>
    <w:rsid w:val="000B270F"/>
    <w:rsid w:val="000B314E"/>
    <w:rsid w:val="000B3559"/>
    <w:rsid w:val="000B3CB7"/>
    <w:rsid w:val="000B48A8"/>
    <w:rsid w:val="000B6543"/>
    <w:rsid w:val="000B743A"/>
    <w:rsid w:val="000B7797"/>
    <w:rsid w:val="000C2216"/>
    <w:rsid w:val="000C23A7"/>
    <w:rsid w:val="000C4E15"/>
    <w:rsid w:val="000C5B0E"/>
    <w:rsid w:val="000C6136"/>
    <w:rsid w:val="000C659B"/>
    <w:rsid w:val="000C79E0"/>
    <w:rsid w:val="000D01E3"/>
    <w:rsid w:val="000D1E15"/>
    <w:rsid w:val="000D2313"/>
    <w:rsid w:val="000D2D5E"/>
    <w:rsid w:val="000D40B9"/>
    <w:rsid w:val="000D6095"/>
    <w:rsid w:val="000D6268"/>
    <w:rsid w:val="000E6EDF"/>
    <w:rsid w:val="000E7CE0"/>
    <w:rsid w:val="000F0F06"/>
    <w:rsid w:val="000F498F"/>
    <w:rsid w:val="000F4CF3"/>
    <w:rsid w:val="000F68FD"/>
    <w:rsid w:val="0010226B"/>
    <w:rsid w:val="001038D0"/>
    <w:rsid w:val="00103EAA"/>
    <w:rsid w:val="00110ADA"/>
    <w:rsid w:val="0011213A"/>
    <w:rsid w:val="001151F0"/>
    <w:rsid w:val="001204D5"/>
    <w:rsid w:val="00124906"/>
    <w:rsid w:val="0013029C"/>
    <w:rsid w:val="00130377"/>
    <w:rsid w:val="00132505"/>
    <w:rsid w:val="001327E7"/>
    <w:rsid w:val="00132C6D"/>
    <w:rsid w:val="00133D24"/>
    <w:rsid w:val="001347B9"/>
    <w:rsid w:val="00134ACE"/>
    <w:rsid w:val="00134E07"/>
    <w:rsid w:val="00135D06"/>
    <w:rsid w:val="001375C4"/>
    <w:rsid w:val="0014069B"/>
    <w:rsid w:val="00140A34"/>
    <w:rsid w:val="00141001"/>
    <w:rsid w:val="0014230A"/>
    <w:rsid w:val="001433D1"/>
    <w:rsid w:val="00143990"/>
    <w:rsid w:val="001452D9"/>
    <w:rsid w:val="0014661F"/>
    <w:rsid w:val="00146C36"/>
    <w:rsid w:val="00146E9F"/>
    <w:rsid w:val="00147547"/>
    <w:rsid w:val="001506A1"/>
    <w:rsid w:val="00151945"/>
    <w:rsid w:val="001522A6"/>
    <w:rsid w:val="00152394"/>
    <w:rsid w:val="0015295C"/>
    <w:rsid w:val="00152FAC"/>
    <w:rsid w:val="0015373C"/>
    <w:rsid w:val="00153AD1"/>
    <w:rsid w:val="00154CA5"/>
    <w:rsid w:val="0016089B"/>
    <w:rsid w:val="00160C20"/>
    <w:rsid w:val="00161A5A"/>
    <w:rsid w:val="001621F2"/>
    <w:rsid w:val="00162A7D"/>
    <w:rsid w:val="00163EA8"/>
    <w:rsid w:val="00164F97"/>
    <w:rsid w:val="00166081"/>
    <w:rsid w:val="0016626E"/>
    <w:rsid w:val="0016642F"/>
    <w:rsid w:val="001666D0"/>
    <w:rsid w:val="0016684F"/>
    <w:rsid w:val="0016685B"/>
    <w:rsid w:val="00166FAB"/>
    <w:rsid w:val="00167546"/>
    <w:rsid w:val="001678B7"/>
    <w:rsid w:val="00170168"/>
    <w:rsid w:val="00170EBB"/>
    <w:rsid w:val="001725A2"/>
    <w:rsid w:val="00172BD9"/>
    <w:rsid w:val="00172F10"/>
    <w:rsid w:val="00173196"/>
    <w:rsid w:val="00174DE8"/>
    <w:rsid w:val="00174FE5"/>
    <w:rsid w:val="0017553E"/>
    <w:rsid w:val="00176BD9"/>
    <w:rsid w:val="00176DAB"/>
    <w:rsid w:val="00177E91"/>
    <w:rsid w:val="00180D82"/>
    <w:rsid w:val="00181553"/>
    <w:rsid w:val="00183BC2"/>
    <w:rsid w:val="001852F4"/>
    <w:rsid w:val="001856B7"/>
    <w:rsid w:val="0018594A"/>
    <w:rsid w:val="00186344"/>
    <w:rsid w:val="001865BF"/>
    <w:rsid w:val="001873F1"/>
    <w:rsid w:val="00187A76"/>
    <w:rsid w:val="0019116E"/>
    <w:rsid w:val="00191257"/>
    <w:rsid w:val="00192A29"/>
    <w:rsid w:val="00192AD9"/>
    <w:rsid w:val="00192BD0"/>
    <w:rsid w:val="0019381E"/>
    <w:rsid w:val="00195F5D"/>
    <w:rsid w:val="00196A50"/>
    <w:rsid w:val="00197925"/>
    <w:rsid w:val="001A0791"/>
    <w:rsid w:val="001A0DBA"/>
    <w:rsid w:val="001A259E"/>
    <w:rsid w:val="001A304C"/>
    <w:rsid w:val="001A40AD"/>
    <w:rsid w:val="001A61FE"/>
    <w:rsid w:val="001A69A5"/>
    <w:rsid w:val="001B133F"/>
    <w:rsid w:val="001B1BFE"/>
    <w:rsid w:val="001B27E3"/>
    <w:rsid w:val="001B2D1D"/>
    <w:rsid w:val="001B2DC3"/>
    <w:rsid w:val="001B395B"/>
    <w:rsid w:val="001C162F"/>
    <w:rsid w:val="001C2354"/>
    <w:rsid w:val="001C366A"/>
    <w:rsid w:val="001C36D2"/>
    <w:rsid w:val="001C597E"/>
    <w:rsid w:val="001D27F7"/>
    <w:rsid w:val="001D61FE"/>
    <w:rsid w:val="001D6A37"/>
    <w:rsid w:val="001D6E55"/>
    <w:rsid w:val="001D79DD"/>
    <w:rsid w:val="001E0F51"/>
    <w:rsid w:val="001E2D22"/>
    <w:rsid w:val="001E3314"/>
    <w:rsid w:val="001E46CA"/>
    <w:rsid w:val="001E7CBF"/>
    <w:rsid w:val="001F0BEE"/>
    <w:rsid w:val="001F1A46"/>
    <w:rsid w:val="001F57EC"/>
    <w:rsid w:val="001F5B04"/>
    <w:rsid w:val="001F6084"/>
    <w:rsid w:val="001F6352"/>
    <w:rsid w:val="001F68FD"/>
    <w:rsid w:val="001F709D"/>
    <w:rsid w:val="001F79EF"/>
    <w:rsid w:val="001F7D6B"/>
    <w:rsid w:val="00201122"/>
    <w:rsid w:val="00203391"/>
    <w:rsid w:val="002037D2"/>
    <w:rsid w:val="002042FA"/>
    <w:rsid w:val="00205484"/>
    <w:rsid w:val="00205D8A"/>
    <w:rsid w:val="002061AF"/>
    <w:rsid w:val="00207B07"/>
    <w:rsid w:val="00211439"/>
    <w:rsid w:val="00211CF2"/>
    <w:rsid w:val="00212EAF"/>
    <w:rsid w:val="00214E0D"/>
    <w:rsid w:val="00215340"/>
    <w:rsid w:val="002171E2"/>
    <w:rsid w:val="00223828"/>
    <w:rsid w:val="00225347"/>
    <w:rsid w:val="00230D83"/>
    <w:rsid w:val="00231D06"/>
    <w:rsid w:val="00231DEC"/>
    <w:rsid w:val="002328EC"/>
    <w:rsid w:val="00233405"/>
    <w:rsid w:val="00236A5D"/>
    <w:rsid w:val="00241109"/>
    <w:rsid w:val="0024651E"/>
    <w:rsid w:val="00250877"/>
    <w:rsid w:val="002509F8"/>
    <w:rsid w:val="00250B61"/>
    <w:rsid w:val="00251E94"/>
    <w:rsid w:val="0025341E"/>
    <w:rsid w:val="002537BB"/>
    <w:rsid w:val="00257853"/>
    <w:rsid w:val="00257F4F"/>
    <w:rsid w:val="0026037A"/>
    <w:rsid w:val="00261345"/>
    <w:rsid w:val="00263C4C"/>
    <w:rsid w:val="00265575"/>
    <w:rsid w:val="00266826"/>
    <w:rsid w:val="002720CE"/>
    <w:rsid w:val="002729A4"/>
    <w:rsid w:val="00272D0D"/>
    <w:rsid w:val="00272D8A"/>
    <w:rsid w:val="00274485"/>
    <w:rsid w:val="00274A95"/>
    <w:rsid w:val="00276428"/>
    <w:rsid w:val="00276925"/>
    <w:rsid w:val="00285B20"/>
    <w:rsid w:val="00287041"/>
    <w:rsid w:val="00287204"/>
    <w:rsid w:val="0028739F"/>
    <w:rsid w:val="002876E1"/>
    <w:rsid w:val="002901DD"/>
    <w:rsid w:val="00290449"/>
    <w:rsid w:val="00291D89"/>
    <w:rsid w:val="00292C24"/>
    <w:rsid w:val="00294C4D"/>
    <w:rsid w:val="002A05D5"/>
    <w:rsid w:val="002A06AE"/>
    <w:rsid w:val="002A1309"/>
    <w:rsid w:val="002A2A9A"/>
    <w:rsid w:val="002A2D17"/>
    <w:rsid w:val="002A2E40"/>
    <w:rsid w:val="002A3E5A"/>
    <w:rsid w:val="002A4689"/>
    <w:rsid w:val="002A4C9A"/>
    <w:rsid w:val="002A4D6A"/>
    <w:rsid w:val="002A61DC"/>
    <w:rsid w:val="002B1D0B"/>
    <w:rsid w:val="002B29DA"/>
    <w:rsid w:val="002B302C"/>
    <w:rsid w:val="002B42BF"/>
    <w:rsid w:val="002B53DF"/>
    <w:rsid w:val="002B6528"/>
    <w:rsid w:val="002C04A5"/>
    <w:rsid w:val="002C2E47"/>
    <w:rsid w:val="002C556A"/>
    <w:rsid w:val="002C5969"/>
    <w:rsid w:val="002C728F"/>
    <w:rsid w:val="002D043C"/>
    <w:rsid w:val="002D1F51"/>
    <w:rsid w:val="002D363F"/>
    <w:rsid w:val="002D4382"/>
    <w:rsid w:val="002D49A5"/>
    <w:rsid w:val="002D4DCC"/>
    <w:rsid w:val="002D556C"/>
    <w:rsid w:val="002D60DE"/>
    <w:rsid w:val="002D6D09"/>
    <w:rsid w:val="002D7885"/>
    <w:rsid w:val="002D79CE"/>
    <w:rsid w:val="002E0B76"/>
    <w:rsid w:val="002E29FB"/>
    <w:rsid w:val="002E4B78"/>
    <w:rsid w:val="002E6A93"/>
    <w:rsid w:val="002E7583"/>
    <w:rsid w:val="002F1768"/>
    <w:rsid w:val="002F2CCE"/>
    <w:rsid w:val="002F4DBE"/>
    <w:rsid w:val="002F5C1B"/>
    <w:rsid w:val="002F750C"/>
    <w:rsid w:val="002F7A80"/>
    <w:rsid w:val="00302A94"/>
    <w:rsid w:val="00302E6D"/>
    <w:rsid w:val="00304860"/>
    <w:rsid w:val="00304FD2"/>
    <w:rsid w:val="00305D28"/>
    <w:rsid w:val="003060C9"/>
    <w:rsid w:val="00307190"/>
    <w:rsid w:val="00307455"/>
    <w:rsid w:val="003107EF"/>
    <w:rsid w:val="0031230D"/>
    <w:rsid w:val="00313AF1"/>
    <w:rsid w:val="00316167"/>
    <w:rsid w:val="00316302"/>
    <w:rsid w:val="003200FB"/>
    <w:rsid w:val="003206A8"/>
    <w:rsid w:val="00322AB5"/>
    <w:rsid w:val="00323AC0"/>
    <w:rsid w:val="003256E0"/>
    <w:rsid w:val="00325B99"/>
    <w:rsid w:val="003274E4"/>
    <w:rsid w:val="00330E5B"/>
    <w:rsid w:val="003313B4"/>
    <w:rsid w:val="00332168"/>
    <w:rsid w:val="00332580"/>
    <w:rsid w:val="00332A67"/>
    <w:rsid w:val="00333D78"/>
    <w:rsid w:val="00333DFB"/>
    <w:rsid w:val="00333E8A"/>
    <w:rsid w:val="00335127"/>
    <w:rsid w:val="00337B12"/>
    <w:rsid w:val="0034036C"/>
    <w:rsid w:val="00341433"/>
    <w:rsid w:val="00343BF2"/>
    <w:rsid w:val="0034651D"/>
    <w:rsid w:val="00346641"/>
    <w:rsid w:val="0035082C"/>
    <w:rsid w:val="00352BEF"/>
    <w:rsid w:val="003566C0"/>
    <w:rsid w:val="00357F81"/>
    <w:rsid w:val="00361B15"/>
    <w:rsid w:val="00362532"/>
    <w:rsid w:val="003630C0"/>
    <w:rsid w:val="00363112"/>
    <w:rsid w:val="00363F9E"/>
    <w:rsid w:val="003664CF"/>
    <w:rsid w:val="00367095"/>
    <w:rsid w:val="00367837"/>
    <w:rsid w:val="0036791D"/>
    <w:rsid w:val="00367C55"/>
    <w:rsid w:val="0037139F"/>
    <w:rsid w:val="00372A9D"/>
    <w:rsid w:val="003730DC"/>
    <w:rsid w:val="00373B41"/>
    <w:rsid w:val="003746C7"/>
    <w:rsid w:val="00374ADA"/>
    <w:rsid w:val="00375C1D"/>
    <w:rsid w:val="00376A9C"/>
    <w:rsid w:val="003801E7"/>
    <w:rsid w:val="00381D4E"/>
    <w:rsid w:val="0038259D"/>
    <w:rsid w:val="00383960"/>
    <w:rsid w:val="00386E22"/>
    <w:rsid w:val="00387C9E"/>
    <w:rsid w:val="00387F1C"/>
    <w:rsid w:val="0039082A"/>
    <w:rsid w:val="00390F44"/>
    <w:rsid w:val="0039342B"/>
    <w:rsid w:val="00393B7E"/>
    <w:rsid w:val="003948C8"/>
    <w:rsid w:val="00395289"/>
    <w:rsid w:val="0039533A"/>
    <w:rsid w:val="003979FC"/>
    <w:rsid w:val="00397B38"/>
    <w:rsid w:val="00397F9F"/>
    <w:rsid w:val="003A186C"/>
    <w:rsid w:val="003A19A2"/>
    <w:rsid w:val="003A2478"/>
    <w:rsid w:val="003A2A9C"/>
    <w:rsid w:val="003A3007"/>
    <w:rsid w:val="003A6A34"/>
    <w:rsid w:val="003B071F"/>
    <w:rsid w:val="003B1ED7"/>
    <w:rsid w:val="003B7D93"/>
    <w:rsid w:val="003B7F66"/>
    <w:rsid w:val="003C2AB3"/>
    <w:rsid w:val="003C35EB"/>
    <w:rsid w:val="003C7581"/>
    <w:rsid w:val="003D01D4"/>
    <w:rsid w:val="003D30B9"/>
    <w:rsid w:val="003D35FE"/>
    <w:rsid w:val="003D47C9"/>
    <w:rsid w:val="003D4D32"/>
    <w:rsid w:val="003D5172"/>
    <w:rsid w:val="003D56C1"/>
    <w:rsid w:val="003D5B59"/>
    <w:rsid w:val="003D6C54"/>
    <w:rsid w:val="003D7578"/>
    <w:rsid w:val="003E1B35"/>
    <w:rsid w:val="003E1E5E"/>
    <w:rsid w:val="003E2B6F"/>
    <w:rsid w:val="003E329E"/>
    <w:rsid w:val="003E6349"/>
    <w:rsid w:val="003E64C3"/>
    <w:rsid w:val="003E71D1"/>
    <w:rsid w:val="003F1A78"/>
    <w:rsid w:val="003F3154"/>
    <w:rsid w:val="003F3CE8"/>
    <w:rsid w:val="003F476C"/>
    <w:rsid w:val="003F52B8"/>
    <w:rsid w:val="003F54A9"/>
    <w:rsid w:val="003F5F7C"/>
    <w:rsid w:val="00400023"/>
    <w:rsid w:val="00400381"/>
    <w:rsid w:val="00400525"/>
    <w:rsid w:val="00400784"/>
    <w:rsid w:val="00401130"/>
    <w:rsid w:val="004011A4"/>
    <w:rsid w:val="00402F88"/>
    <w:rsid w:val="00403792"/>
    <w:rsid w:val="00404D2B"/>
    <w:rsid w:val="00405267"/>
    <w:rsid w:val="004058E4"/>
    <w:rsid w:val="00405D1F"/>
    <w:rsid w:val="00406897"/>
    <w:rsid w:val="004075BD"/>
    <w:rsid w:val="00407AE7"/>
    <w:rsid w:val="00410BD6"/>
    <w:rsid w:val="00410E37"/>
    <w:rsid w:val="0041113F"/>
    <w:rsid w:val="00412BCE"/>
    <w:rsid w:val="00413D02"/>
    <w:rsid w:val="00414748"/>
    <w:rsid w:val="00414FC8"/>
    <w:rsid w:val="00415289"/>
    <w:rsid w:val="004159CB"/>
    <w:rsid w:val="00416388"/>
    <w:rsid w:val="0042128C"/>
    <w:rsid w:val="0042614E"/>
    <w:rsid w:val="00426423"/>
    <w:rsid w:val="00432BA4"/>
    <w:rsid w:val="00434D88"/>
    <w:rsid w:val="00436D00"/>
    <w:rsid w:val="00437FBD"/>
    <w:rsid w:val="004401FB"/>
    <w:rsid w:val="00441AF2"/>
    <w:rsid w:val="004432F8"/>
    <w:rsid w:val="00445011"/>
    <w:rsid w:val="004479C3"/>
    <w:rsid w:val="00447A20"/>
    <w:rsid w:val="00451349"/>
    <w:rsid w:val="0045137B"/>
    <w:rsid w:val="00453310"/>
    <w:rsid w:val="00455732"/>
    <w:rsid w:val="00456A99"/>
    <w:rsid w:val="0045784B"/>
    <w:rsid w:val="004601CB"/>
    <w:rsid w:val="00461E65"/>
    <w:rsid w:val="004621CE"/>
    <w:rsid w:val="0046366C"/>
    <w:rsid w:val="004642F8"/>
    <w:rsid w:val="00464B59"/>
    <w:rsid w:val="00465B4E"/>
    <w:rsid w:val="004701BD"/>
    <w:rsid w:val="00471E05"/>
    <w:rsid w:val="004726AB"/>
    <w:rsid w:val="00473569"/>
    <w:rsid w:val="00480298"/>
    <w:rsid w:val="004861BE"/>
    <w:rsid w:val="00487730"/>
    <w:rsid w:val="0049107F"/>
    <w:rsid w:val="004955E9"/>
    <w:rsid w:val="00495EB5"/>
    <w:rsid w:val="0049626F"/>
    <w:rsid w:val="00497469"/>
    <w:rsid w:val="00497B17"/>
    <w:rsid w:val="004A05DF"/>
    <w:rsid w:val="004A10A9"/>
    <w:rsid w:val="004A2EB8"/>
    <w:rsid w:val="004A3056"/>
    <w:rsid w:val="004A3F5C"/>
    <w:rsid w:val="004A63D0"/>
    <w:rsid w:val="004A67A9"/>
    <w:rsid w:val="004A7F40"/>
    <w:rsid w:val="004B2116"/>
    <w:rsid w:val="004B353C"/>
    <w:rsid w:val="004B3819"/>
    <w:rsid w:val="004B3925"/>
    <w:rsid w:val="004B5E80"/>
    <w:rsid w:val="004B5FDE"/>
    <w:rsid w:val="004C086F"/>
    <w:rsid w:val="004C170E"/>
    <w:rsid w:val="004C184E"/>
    <w:rsid w:val="004C1876"/>
    <w:rsid w:val="004C243F"/>
    <w:rsid w:val="004C3431"/>
    <w:rsid w:val="004C3C97"/>
    <w:rsid w:val="004C3F93"/>
    <w:rsid w:val="004C588E"/>
    <w:rsid w:val="004C6B88"/>
    <w:rsid w:val="004C773F"/>
    <w:rsid w:val="004D20FC"/>
    <w:rsid w:val="004D2BEA"/>
    <w:rsid w:val="004D322C"/>
    <w:rsid w:val="004D6237"/>
    <w:rsid w:val="004D65E2"/>
    <w:rsid w:val="004D66AC"/>
    <w:rsid w:val="004D7539"/>
    <w:rsid w:val="004D7A1E"/>
    <w:rsid w:val="004E021B"/>
    <w:rsid w:val="004E1441"/>
    <w:rsid w:val="004E1FE6"/>
    <w:rsid w:val="004E24D9"/>
    <w:rsid w:val="004E30B6"/>
    <w:rsid w:val="004E5731"/>
    <w:rsid w:val="004E7E41"/>
    <w:rsid w:val="004F0141"/>
    <w:rsid w:val="004F01EC"/>
    <w:rsid w:val="004F0ED5"/>
    <w:rsid w:val="004F1C6C"/>
    <w:rsid w:val="004F4229"/>
    <w:rsid w:val="004F5416"/>
    <w:rsid w:val="004F572A"/>
    <w:rsid w:val="004F68E3"/>
    <w:rsid w:val="004F7BB9"/>
    <w:rsid w:val="0050385D"/>
    <w:rsid w:val="00504550"/>
    <w:rsid w:val="00504A80"/>
    <w:rsid w:val="00505434"/>
    <w:rsid w:val="00505E56"/>
    <w:rsid w:val="00507322"/>
    <w:rsid w:val="00507685"/>
    <w:rsid w:val="00507B00"/>
    <w:rsid w:val="00507E47"/>
    <w:rsid w:val="0051335C"/>
    <w:rsid w:val="00513787"/>
    <w:rsid w:val="00515583"/>
    <w:rsid w:val="00515C22"/>
    <w:rsid w:val="005162B9"/>
    <w:rsid w:val="00523108"/>
    <w:rsid w:val="00523FE0"/>
    <w:rsid w:val="0052544B"/>
    <w:rsid w:val="00526CB2"/>
    <w:rsid w:val="00530049"/>
    <w:rsid w:val="00530E3D"/>
    <w:rsid w:val="00531524"/>
    <w:rsid w:val="00532A4A"/>
    <w:rsid w:val="00532DFB"/>
    <w:rsid w:val="005333C1"/>
    <w:rsid w:val="00536194"/>
    <w:rsid w:val="00540E36"/>
    <w:rsid w:val="00541C75"/>
    <w:rsid w:val="00541E6B"/>
    <w:rsid w:val="005432D5"/>
    <w:rsid w:val="005432D9"/>
    <w:rsid w:val="005441F0"/>
    <w:rsid w:val="00545F84"/>
    <w:rsid w:val="005464FA"/>
    <w:rsid w:val="0054657B"/>
    <w:rsid w:val="00546C26"/>
    <w:rsid w:val="0054702C"/>
    <w:rsid w:val="005529C0"/>
    <w:rsid w:val="00552D0C"/>
    <w:rsid w:val="00552EB9"/>
    <w:rsid w:val="005534B0"/>
    <w:rsid w:val="005551DC"/>
    <w:rsid w:val="00555E97"/>
    <w:rsid w:val="00556603"/>
    <w:rsid w:val="00557E6D"/>
    <w:rsid w:val="00560153"/>
    <w:rsid w:val="005610CF"/>
    <w:rsid w:val="0056306E"/>
    <w:rsid w:val="005647F7"/>
    <w:rsid w:val="00564D08"/>
    <w:rsid w:val="00567E11"/>
    <w:rsid w:val="00571ED9"/>
    <w:rsid w:val="00573BD8"/>
    <w:rsid w:val="00573D4B"/>
    <w:rsid w:val="00574EFC"/>
    <w:rsid w:val="00574FF5"/>
    <w:rsid w:val="0057508F"/>
    <w:rsid w:val="00575E60"/>
    <w:rsid w:val="005777A5"/>
    <w:rsid w:val="00577C44"/>
    <w:rsid w:val="00582C15"/>
    <w:rsid w:val="005836E9"/>
    <w:rsid w:val="005841A4"/>
    <w:rsid w:val="00590A7D"/>
    <w:rsid w:val="0059105D"/>
    <w:rsid w:val="00591BB9"/>
    <w:rsid w:val="00593A39"/>
    <w:rsid w:val="00593C88"/>
    <w:rsid w:val="0059416B"/>
    <w:rsid w:val="00594283"/>
    <w:rsid w:val="00595AE4"/>
    <w:rsid w:val="005965EF"/>
    <w:rsid w:val="005A0724"/>
    <w:rsid w:val="005A2311"/>
    <w:rsid w:val="005A3962"/>
    <w:rsid w:val="005A3E9B"/>
    <w:rsid w:val="005A4AA7"/>
    <w:rsid w:val="005A6C99"/>
    <w:rsid w:val="005B02A2"/>
    <w:rsid w:val="005B0418"/>
    <w:rsid w:val="005B3D1A"/>
    <w:rsid w:val="005B456A"/>
    <w:rsid w:val="005B55A5"/>
    <w:rsid w:val="005B78DA"/>
    <w:rsid w:val="005C02F6"/>
    <w:rsid w:val="005C0B3A"/>
    <w:rsid w:val="005C1EAA"/>
    <w:rsid w:val="005C5AED"/>
    <w:rsid w:val="005C7707"/>
    <w:rsid w:val="005D159D"/>
    <w:rsid w:val="005D1B40"/>
    <w:rsid w:val="005D2009"/>
    <w:rsid w:val="005D26A4"/>
    <w:rsid w:val="005D3556"/>
    <w:rsid w:val="005D7A59"/>
    <w:rsid w:val="005D7E39"/>
    <w:rsid w:val="005E07C9"/>
    <w:rsid w:val="005E18D8"/>
    <w:rsid w:val="005E2D23"/>
    <w:rsid w:val="005E49B6"/>
    <w:rsid w:val="005E51EE"/>
    <w:rsid w:val="005E5AFA"/>
    <w:rsid w:val="005E785B"/>
    <w:rsid w:val="005F0820"/>
    <w:rsid w:val="005F1BAC"/>
    <w:rsid w:val="005F1C5B"/>
    <w:rsid w:val="005F3C9B"/>
    <w:rsid w:val="005F4496"/>
    <w:rsid w:val="005F44E8"/>
    <w:rsid w:val="005F53CB"/>
    <w:rsid w:val="005F54F5"/>
    <w:rsid w:val="005F55B8"/>
    <w:rsid w:val="005F7CE9"/>
    <w:rsid w:val="006033D1"/>
    <w:rsid w:val="006057A8"/>
    <w:rsid w:val="006064F4"/>
    <w:rsid w:val="00607282"/>
    <w:rsid w:val="006109F6"/>
    <w:rsid w:val="0061201B"/>
    <w:rsid w:val="006134AD"/>
    <w:rsid w:val="00615B0A"/>
    <w:rsid w:val="00615EE5"/>
    <w:rsid w:val="00616A34"/>
    <w:rsid w:val="0062095F"/>
    <w:rsid w:val="00623454"/>
    <w:rsid w:val="00623A57"/>
    <w:rsid w:val="006253A8"/>
    <w:rsid w:val="00630D59"/>
    <w:rsid w:val="00633CC6"/>
    <w:rsid w:val="0063454E"/>
    <w:rsid w:val="00634B1C"/>
    <w:rsid w:val="00636D9B"/>
    <w:rsid w:val="00637879"/>
    <w:rsid w:val="006378CC"/>
    <w:rsid w:val="00641A71"/>
    <w:rsid w:val="00641C48"/>
    <w:rsid w:val="00641D79"/>
    <w:rsid w:val="006428DA"/>
    <w:rsid w:val="00645ED4"/>
    <w:rsid w:val="006472AE"/>
    <w:rsid w:val="006479B8"/>
    <w:rsid w:val="00647D84"/>
    <w:rsid w:val="006502FE"/>
    <w:rsid w:val="0065039A"/>
    <w:rsid w:val="00650603"/>
    <w:rsid w:val="00650BC2"/>
    <w:rsid w:val="00650C31"/>
    <w:rsid w:val="00650CDD"/>
    <w:rsid w:val="0065167F"/>
    <w:rsid w:val="006524CC"/>
    <w:rsid w:val="00654DF5"/>
    <w:rsid w:val="0065668C"/>
    <w:rsid w:val="006569E3"/>
    <w:rsid w:val="00660508"/>
    <w:rsid w:val="006619A9"/>
    <w:rsid w:val="00661DFD"/>
    <w:rsid w:val="006650EA"/>
    <w:rsid w:val="006659DC"/>
    <w:rsid w:val="0066708E"/>
    <w:rsid w:val="00667592"/>
    <w:rsid w:val="0066760B"/>
    <w:rsid w:val="00667A13"/>
    <w:rsid w:val="00667C01"/>
    <w:rsid w:val="006706E2"/>
    <w:rsid w:val="00670B5D"/>
    <w:rsid w:val="0067105A"/>
    <w:rsid w:val="0067334F"/>
    <w:rsid w:val="006737C4"/>
    <w:rsid w:val="00676062"/>
    <w:rsid w:val="00676B87"/>
    <w:rsid w:val="00676C98"/>
    <w:rsid w:val="0068056E"/>
    <w:rsid w:val="00680AA7"/>
    <w:rsid w:val="00681A0E"/>
    <w:rsid w:val="00681B31"/>
    <w:rsid w:val="00686A22"/>
    <w:rsid w:val="006874E5"/>
    <w:rsid w:val="00690320"/>
    <w:rsid w:val="00691456"/>
    <w:rsid w:val="00695580"/>
    <w:rsid w:val="00695A3C"/>
    <w:rsid w:val="00695F0A"/>
    <w:rsid w:val="00697F4D"/>
    <w:rsid w:val="006A4C81"/>
    <w:rsid w:val="006A5114"/>
    <w:rsid w:val="006A77F9"/>
    <w:rsid w:val="006B264B"/>
    <w:rsid w:val="006C0CC6"/>
    <w:rsid w:val="006C0EEB"/>
    <w:rsid w:val="006C21C4"/>
    <w:rsid w:val="006C34E8"/>
    <w:rsid w:val="006C37F9"/>
    <w:rsid w:val="006C3BE5"/>
    <w:rsid w:val="006C4612"/>
    <w:rsid w:val="006C58F3"/>
    <w:rsid w:val="006C5C84"/>
    <w:rsid w:val="006C6892"/>
    <w:rsid w:val="006C6AC4"/>
    <w:rsid w:val="006C6F56"/>
    <w:rsid w:val="006C71F1"/>
    <w:rsid w:val="006C7F30"/>
    <w:rsid w:val="006C7FD8"/>
    <w:rsid w:val="006D0A4A"/>
    <w:rsid w:val="006D14F8"/>
    <w:rsid w:val="006D19A7"/>
    <w:rsid w:val="006D5B9A"/>
    <w:rsid w:val="006D6533"/>
    <w:rsid w:val="006D75B4"/>
    <w:rsid w:val="006E0305"/>
    <w:rsid w:val="006E1B58"/>
    <w:rsid w:val="006E4D92"/>
    <w:rsid w:val="006E62E3"/>
    <w:rsid w:val="006F0D64"/>
    <w:rsid w:val="006F2208"/>
    <w:rsid w:val="006F36CB"/>
    <w:rsid w:val="006F4263"/>
    <w:rsid w:val="006F4702"/>
    <w:rsid w:val="006F50AC"/>
    <w:rsid w:val="006F5546"/>
    <w:rsid w:val="006F6050"/>
    <w:rsid w:val="006F6EA2"/>
    <w:rsid w:val="00700AE8"/>
    <w:rsid w:val="00703E20"/>
    <w:rsid w:val="0070508C"/>
    <w:rsid w:val="00705723"/>
    <w:rsid w:val="00705B7D"/>
    <w:rsid w:val="0070622B"/>
    <w:rsid w:val="00706850"/>
    <w:rsid w:val="00706DC7"/>
    <w:rsid w:val="007076F8"/>
    <w:rsid w:val="00707DE0"/>
    <w:rsid w:val="00710434"/>
    <w:rsid w:val="0071384F"/>
    <w:rsid w:val="0071389B"/>
    <w:rsid w:val="00715A43"/>
    <w:rsid w:val="00715E5E"/>
    <w:rsid w:val="00717E69"/>
    <w:rsid w:val="0072060A"/>
    <w:rsid w:val="00721350"/>
    <w:rsid w:val="00721816"/>
    <w:rsid w:val="007226BB"/>
    <w:rsid w:val="00722F39"/>
    <w:rsid w:val="00723181"/>
    <w:rsid w:val="00724E94"/>
    <w:rsid w:val="00725874"/>
    <w:rsid w:val="00725BF2"/>
    <w:rsid w:val="0073057A"/>
    <w:rsid w:val="0073095C"/>
    <w:rsid w:val="00730C67"/>
    <w:rsid w:val="00730D58"/>
    <w:rsid w:val="007310BA"/>
    <w:rsid w:val="00731552"/>
    <w:rsid w:val="00731654"/>
    <w:rsid w:val="0073276C"/>
    <w:rsid w:val="00733CDA"/>
    <w:rsid w:val="00734A1C"/>
    <w:rsid w:val="00734A83"/>
    <w:rsid w:val="00735A66"/>
    <w:rsid w:val="00735F07"/>
    <w:rsid w:val="00737B00"/>
    <w:rsid w:val="00740FF1"/>
    <w:rsid w:val="007415EB"/>
    <w:rsid w:val="007424E3"/>
    <w:rsid w:val="00743417"/>
    <w:rsid w:val="00746B28"/>
    <w:rsid w:val="00751BDD"/>
    <w:rsid w:val="00751FA0"/>
    <w:rsid w:val="00752305"/>
    <w:rsid w:val="00752665"/>
    <w:rsid w:val="007529E7"/>
    <w:rsid w:val="007579AD"/>
    <w:rsid w:val="007579B2"/>
    <w:rsid w:val="00757C8B"/>
    <w:rsid w:val="007601BE"/>
    <w:rsid w:val="00761D80"/>
    <w:rsid w:val="00761E5A"/>
    <w:rsid w:val="00762318"/>
    <w:rsid w:val="007628DE"/>
    <w:rsid w:val="00762E3A"/>
    <w:rsid w:val="0076341A"/>
    <w:rsid w:val="00763947"/>
    <w:rsid w:val="0076443A"/>
    <w:rsid w:val="00766787"/>
    <w:rsid w:val="00767505"/>
    <w:rsid w:val="00767906"/>
    <w:rsid w:val="0077047D"/>
    <w:rsid w:val="007718BC"/>
    <w:rsid w:val="00773178"/>
    <w:rsid w:val="007744AB"/>
    <w:rsid w:val="00775409"/>
    <w:rsid w:val="00777282"/>
    <w:rsid w:val="0078185F"/>
    <w:rsid w:val="00781883"/>
    <w:rsid w:val="00781917"/>
    <w:rsid w:val="00784E82"/>
    <w:rsid w:val="0079001B"/>
    <w:rsid w:val="00791123"/>
    <w:rsid w:val="00791870"/>
    <w:rsid w:val="00791A52"/>
    <w:rsid w:val="007927CE"/>
    <w:rsid w:val="0079425C"/>
    <w:rsid w:val="007954DA"/>
    <w:rsid w:val="007A059E"/>
    <w:rsid w:val="007A20E9"/>
    <w:rsid w:val="007A25D1"/>
    <w:rsid w:val="007A44F1"/>
    <w:rsid w:val="007A5D1D"/>
    <w:rsid w:val="007A5DFE"/>
    <w:rsid w:val="007B0E0F"/>
    <w:rsid w:val="007B3952"/>
    <w:rsid w:val="007B5230"/>
    <w:rsid w:val="007B6D52"/>
    <w:rsid w:val="007B6EA6"/>
    <w:rsid w:val="007B7100"/>
    <w:rsid w:val="007B7C2B"/>
    <w:rsid w:val="007C4770"/>
    <w:rsid w:val="007C5002"/>
    <w:rsid w:val="007C625B"/>
    <w:rsid w:val="007C69F9"/>
    <w:rsid w:val="007D0669"/>
    <w:rsid w:val="007D1460"/>
    <w:rsid w:val="007D4B4E"/>
    <w:rsid w:val="007D4ECF"/>
    <w:rsid w:val="007D5065"/>
    <w:rsid w:val="007E1858"/>
    <w:rsid w:val="007E1E53"/>
    <w:rsid w:val="007E38E7"/>
    <w:rsid w:val="007E3CDD"/>
    <w:rsid w:val="007E3E5F"/>
    <w:rsid w:val="007E423F"/>
    <w:rsid w:val="007E4295"/>
    <w:rsid w:val="007E4E06"/>
    <w:rsid w:val="007F130A"/>
    <w:rsid w:val="007F19C2"/>
    <w:rsid w:val="007F2409"/>
    <w:rsid w:val="007F4FB0"/>
    <w:rsid w:val="007F6DAA"/>
    <w:rsid w:val="007F7D44"/>
    <w:rsid w:val="007F7E60"/>
    <w:rsid w:val="00800288"/>
    <w:rsid w:val="008011D1"/>
    <w:rsid w:val="00802F3A"/>
    <w:rsid w:val="008039E8"/>
    <w:rsid w:val="00804B78"/>
    <w:rsid w:val="00804F96"/>
    <w:rsid w:val="0080596E"/>
    <w:rsid w:val="0080598E"/>
    <w:rsid w:val="00806062"/>
    <w:rsid w:val="008074FE"/>
    <w:rsid w:val="0080750F"/>
    <w:rsid w:val="008078DA"/>
    <w:rsid w:val="0081017C"/>
    <w:rsid w:val="0081030D"/>
    <w:rsid w:val="00811ABB"/>
    <w:rsid w:val="00811BA0"/>
    <w:rsid w:val="00812695"/>
    <w:rsid w:val="00812DE8"/>
    <w:rsid w:val="0081332C"/>
    <w:rsid w:val="0081433E"/>
    <w:rsid w:val="00815E58"/>
    <w:rsid w:val="0081609E"/>
    <w:rsid w:val="008168F7"/>
    <w:rsid w:val="0081743D"/>
    <w:rsid w:val="00817A87"/>
    <w:rsid w:val="008201DD"/>
    <w:rsid w:val="00820CC8"/>
    <w:rsid w:val="0082199A"/>
    <w:rsid w:val="00822C6B"/>
    <w:rsid w:val="00824DE5"/>
    <w:rsid w:val="0082548E"/>
    <w:rsid w:val="008255EC"/>
    <w:rsid w:val="00825C63"/>
    <w:rsid w:val="00826652"/>
    <w:rsid w:val="00826D60"/>
    <w:rsid w:val="008271B8"/>
    <w:rsid w:val="008271C0"/>
    <w:rsid w:val="0082794C"/>
    <w:rsid w:val="00827E6C"/>
    <w:rsid w:val="00830920"/>
    <w:rsid w:val="00833B3C"/>
    <w:rsid w:val="00833F3B"/>
    <w:rsid w:val="008367E2"/>
    <w:rsid w:val="00837875"/>
    <w:rsid w:val="008407BE"/>
    <w:rsid w:val="00841100"/>
    <w:rsid w:val="0084170B"/>
    <w:rsid w:val="00841F77"/>
    <w:rsid w:val="008421E5"/>
    <w:rsid w:val="00842E58"/>
    <w:rsid w:val="008437B1"/>
    <w:rsid w:val="00844B85"/>
    <w:rsid w:val="00844C52"/>
    <w:rsid w:val="00850A0B"/>
    <w:rsid w:val="00850DAA"/>
    <w:rsid w:val="00851593"/>
    <w:rsid w:val="0085218A"/>
    <w:rsid w:val="00853257"/>
    <w:rsid w:val="00854EDD"/>
    <w:rsid w:val="008558D5"/>
    <w:rsid w:val="008570C6"/>
    <w:rsid w:val="00857F35"/>
    <w:rsid w:val="00860B1C"/>
    <w:rsid w:val="00861B82"/>
    <w:rsid w:val="00863771"/>
    <w:rsid w:val="008639C9"/>
    <w:rsid w:val="00864551"/>
    <w:rsid w:val="00866A21"/>
    <w:rsid w:val="00867070"/>
    <w:rsid w:val="00867D2A"/>
    <w:rsid w:val="00870B3D"/>
    <w:rsid w:val="0087617D"/>
    <w:rsid w:val="00877A05"/>
    <w:rsid w:val="008805E0"/>
    <w:rsid w:val="008820EA"/>
    <w:rsid w:val="00883749"/>
    <w:rsid w:val="00883D02"/>
    <w:rsid w:val="0088453F"/>
    <w:rsid w:val="00884882"/>
    <w:rsid w:val="00886727"/>
    <w:rsid w:val="00886A7F"/>
    <w:rsid w:val="0088757B"/>
    <w:rsid w:val="00887E1E"/>
    <w:rsid w:val="00890DA9"/>
    <w:rsid w:val="0089248B"/>
    <w:rsid w:val="008938D9"/>
    <w:rsid w:val="00895421"/>
    <w:rsid w:val="008973B9"/>
    <w:rsid w:val="008978D6"/>
    <w:rsid w:val="00897ECD"/>
    <w:rsid w:val="008A13C7"/>
    <w:rsid w:val="008A1EEC"/>
    <w:rsid w:val="008A3E2E"/>
    <w:rsid w:val="008A41B0"/>
    <w:rsid w:val="008A4EF0"/>
    <w:rsid w:val="008A6087"/>
    <w:rsid w:val="008A6BA6"/>
    <w:rsid w:val="008B07D2"/>
    <w:rsid w:val="008B3CD3"/>
    <w:rsid w:val="008B3F54"/>
    <w:rsid w:val="008B4526"/>
    <w:rsid w:val="008B45D3"/>
    <w:rsid w:val="008B5B4E"/>
    <w:rsid w:val="008B5C43"/>
    <w:rsid w:val="008C1121"/>
    <w:rsid w:val="008C198E"/>
    <w:rsid w:val="008C1C0E"/>
    <w:rsid w:val="008C217E"/>
    <w:rsid w:val="008C46E6"/>
    <w:rsid w:val="008C5519"/>
    <w:rsid w:val="008C5F58"/>
    <w:rsid w:val="008C6EBD"/>
    <w:rsid w:val="008D3419"/>
    <w:rsid w:val="008D4BD7"/>
    <w:rsid w:val="008D5593"/>
    <w:rsid w:val="008D5B1F"/>
    <w:rsid w:val="008E0346"/>
    <w:rsid w:val="008E233D"/>
    <w:rsid w:val="008E2507"/>
    <w:rsid w:val="008E5AF2"/>
    <w:rsid w:val="008E6619"/>
    <w:rsid w:val="008F0FE9"/>
    <w:rsid w:val="008F1795"/>
    <w:rsid w:val="008F25E8"/>
    <w:rsid w:val="008F6F2A"/>
    <w:rsid w:val="008F7127"/>
    <w:rsid w:val="00902B22"/>
    <w:rsid w:val="00902C66"/>
    <w:rsid w:val="00904E90"/>
    <w:rsid w:val="00910CE5"/>
    <w:rsid w:val="00911836"/>
    <w:rsid w:val="00912105"/>
    <w:rsid w:val="00913DB1"/>
    <w:rsid w:val="00914AAB"/>
    <w:rsid w:val="00914C9D"/>
    <w:rsid w:val="00914F70"/>
    <w:rsid w:val="00917A7A"/>
    <w:rsid w:val="009201E8"/>
    <w:rsid w:val="00923017"/>
    <w:rsid w:val="00925B4E"/>
    <w:rsid w:val="00926620"/>
    <w:rsid w:val="00927BFB"/>
    <w:rsid w:val="0093093D"/>
    <w:rsid w:val="009313A7"/>
    <w:rsid w:val="00935E2B"/>
    <w:rsid w:val="00936359"/>
    <w:rsid w:val="009377B1"/>
    <w:rsid w:val="0094034C"/>
    <w:rsid w:val="00940598"/>
    <w:rsid w:val="0094078D"/>
    <w:rsid w:val="009410AF"/>
    <w:rsid w:val="00944074"/>
    <w:rsid w:val="0094440E"/>
    <w:rsid w:val="009466C2"/>
    <w:rsid w:val="009513EB"/>
    <w:rsid w:val="00951EBE"/>
    <w:rsid w:val="009524D5"/>
    <w:rsid w:val="00953840"/>
    <w:rsid w:val="009554A9"/>
    <w:rsid w:val="00956713"/>
    <w:rsid w:val="0096003B"/>
    <w:rsid w:val="00961210"/>
    <w:rsid w:val="00964730"/>
    <w:rsid w:val="00965331"/>
    <w:rsid w:val="009659BD"/>
    <w:rsid w:val="009667B1"/>
    <w:rsid w:val="00966EB7"/>
    <w:rsid w:val="009674EC"/>
    <w:rsid w:val="0097109E"/>
    <w:rsid w:val="00972D33"/>
    <w:rsid w:val="00972D56"/>
    <w:rsid w:val="00973587"/>
    <w:rsid w:val="00973BD2"/>
    <w:rsid w:val="00974057"/>
    <w:rsid w:val="00975834"/>
    <w:rsid w:val="00975E95"/>
    <w:rsid w:val="009771DD"/>
    <w:rsid w:val="00977949"/>
    <w:rsid w:val="009813FF"/>
    <w:rsid w:val="0098214C"/>
    <w:rsid w:val="0098377E"/>
    <w:rsid w:val="00985814"/>
    <w:rsid w:val="00987685"/>
    <w:rsid w:val="00991A87"/>
    <w:rsid w:val="00991F13"/>
    <w:rsid w:val="009935C5"/>
    <w:rsid w:val="009938AF"/>
    <w:rsid w:val="009945D3"/>
    <w:rsid w:val="00994F57"/>
    <w:rsid w:val="00997638"/>
    <w:rsid w:val="00997AD5"/>
    <w:rsid w:val="009A06D5"/>
    <w:rsid w:val="009A17AD"/>
    <w:rsid w:val="009A17DF"/>
    <w:rsid w:val="009A213F"/>
    <w:rsid w:val="009A38DE"/>
    <w:rsid w:val="009A46EB"/>
    <w:rsid w:val="009A4DBD"/>
    <w:rsid w:val="009A55CE"/>
    <w:rsid w:val="009B54C6"/>
    <w:rsid w:val="009B575E"/>
    <w:rsid w:val="009B6B44"/>
    <w:rsid w:val="009C0516"/>
    <w:rsid w:val="009C1268"/>
    <w:rsid w:val="009C1818"/>
    <w:rsid w:val="009C18DF"/>
    <w:rsid w:val="009C19DB"/>
    <w:rsid w:val="009C39C1"/>
    <w:rsid w:val="009C3CC8"/>
    <w:rsid w:val="009C5EB8"/>
    <w:rsid w:val="009C7577"/>
    <w:rsid w:val="009D096F"/>
    <w:rsid w:val="009D14DF"/>
    <w:rsid w:val="009D24C9"/>
    <w:rsid w:val="009D55FD"/>
    <w:rsid w:val="009E1328"/>
    <w:rsid w:val="009E29A5"/>
    <w:rsid w:val="009E3E75"/>
    <w:rsid w:val="009E40EB"/>
    <w:rsid w:val="009E4847"/>
    <w:rsid w:val="009E4965"/>
    <w:rsid w:val="009E7923"/>
    <w:rsid w:val="009E7E2A"/>
    <w:rsid w:val="009F090B"/>
    <w:rsid w:val="009F0EC5"/>
    <w:rsid w:val="009F1E6F"/>
    <w:rsid w:val="009F2A36"/>
    <w:rsid w:val="009F4008"/>
    <w:rsid w:val="009F44B3"/>
    <w:rsid w:val="009F5B01"/>
    <w:rsid w:val="009F6A30"/>
    <w:rsid w:val="009F7743"/>
    <w:rsid w:val="00A0020F"/>
    <w:rsid w:val="00A0127C"/>
    <w:rsid w:val="00A029C0"/>
    <w:rsid w:val="00A04A30"/>
    <w:rsid w:val="00A0502C"/>
    <w:rsid w:val="00A056AB"/>
    <w:rsid w:val="00A07EDE"/>
    <w:rsid w:val="00A10EFE"/>
    <w:rsid w:val="00A1139D"/>
    <w:rsid w:val="00A11749"/>
    <w:rsid w:val="00A15A94"/>
    <w:rsid w:val="00A21357"/>
    <w:rsid w:val="00A236CC"/>
    <w:rsid w:val="00A273E5"/>
    <w:rsid w:val="00A300B0"/>
    <w:rsid w:val="00A301D6"/>
    <w:rsid w:val="00A31F61"/>
    <w:rsid w:val="00A3253B"/>
    <w:rsid w:val="00A33BD2"/>
    <w:rsid w:val="00A34B9D"/>
    <w:rsid w:val="00A35E66"/>
    <w:rsid w:val="00A37707"/>
    <w:rsid w:val="00A379C8"/>
    <w:rsid w:val="00A40FF7"/>
    <w:rsid w:val="00A4317D"/>
    <w:rsid w:val="00A4324D"/>
    <w:rsid w:val="00A43859"/>
    <w:rsid w:val="00A46B11"/>
    <w:rsid w:val="00A50774"/>
    <w:rsid w:val="00A54677"/>
    <w:rsid w:val="00A57AB9"/>
    <w:rsid w:val="00A624C5"/>
    <w:rsid w:val="00A62AAA"/>
    <w:rsid w:val="00A62F10"/>
    <w:rsid w:val="00A63511"/>
    <w:rsid w:val="00A737E2"/>
    <w:rsid w:val="00A74D0A"/>
    <w:rsid w:val="00A74E7E"/>
    <w:rsid w:val="00A753C3"/>
    <w:rsid w:val="00A75B46"/>
    <w:rsid w:val="00A75F7F"/>
    <w:rsid w:val="00A7601D"/>
    <w:rsid w:val="00A7789A"/>
    <w:rsid w:val="00A77E3B"/>
    <w:rsid w:val="00A831E5"/>
    <w:rsid w:val="00A8375A"/>
    <w:rsid w:val="00A84DF8"/>
    <w:rsid w:val="00A85381"/>
    <w:rsid w:val="00A85841"/>
    <w:rsid w:val="00A85B73"/>
    <w:rsid w:val="00A86344"/>
    <w:rsid w:val="00A86AC1"/>
    <w:rsid w:val="00A86F0D"/>
    <w:rsid w:val="00A9147D"/>
    <w:rsid w:val="00A91B59"/>
    <w:rsid w:val="00A91E40"/>
    <w:rsid w:val="00A922E8"/>
    <w:rsid w:val="00A92B22"/>
    <w:rsid w:val="00A92D2A"/>
    <w:rsid w:val="00A93034"/>
    <w:rsid w:val="00A939C2"/>
    <w:rsid w:val="00A93EC2"/>
    <w:rsid w:val="00A96354"/>
    <w:rsid w:val="00A96B1E"/>
    <w:rsid w:val="00A9790B"/>
    <w:rsid w:val="00AA1744"/>
    <w:rsid w:val="00AA1D5E"/>
    <w:rsid w:val="00AA3ADE"/>
    <w:rsid w:val="00AA6591"/>
    <w:rsid w:val="00AB0942"/>
    <w:rsid w:val="00AB3C3B"/>
    <w:rsid w:val="00AB6F0F"/>
    <w:rsid w:val="00AB7C39"/>
    <w:rsid w:val="00AB7CCE"/>
    <w:rsid w:val="00AC0AD1"/>
    <w:rsid w:val="00AC1F50"/>
    <w:rsid w:val="00AC2B6D"/>
    <w:rsid w:val="00AC2DD9"/>
    <w:rsid w:val="00AC30E6"/>
    <w:rsid w:val="00AC46BA"/>
    <w:rsid w:val="00AC6518"/>
    <w:rsid w:val="00AC72C1"/>
    <w:rsid w:val="00AC7E3F"/>
    <w:rsid w:val="00AD43C7"/>
    <w:rsid w:val="00AD495F"/>
    <w:rsid w:val="00AD71DC"/>
    <w:rsid w:val="00AD788C"/>
    <w:rsid w:val="00AD7C61"/>
    <w:rsid w:val="00AE1A0E"/>
    <w:rsid w:val="00AE2500"/>
    <w:rsid w:val="00AE32D1"/>
    <w:rsid w:val="00AE3691"/>
    <w:rsid w:val="00AE3FB9"/>
    <w:rsid w:val="00AE4B03"/>
    <w:rsid w:val="00AE4F51"/>
    <w:rsid w:val="00AE5A7F"/>
    <w:rsid w:val="00AE6A43"/>
    <w:rsid w:val="00AE6E16"/>
    <w:rsid w:val="00AE7642"/>
    <w:rsid w:val="00AE7DE6"/>
    <w:rsid w:val="00AF10BF"/>
    <w:rsid w:val="00AF1D3F"/>
    <w:rsid w:val="00AF30E8"/>
    <w:rsid w:val="00AF3930"/>
    <w:rsid w:val="00AF4144"/>
    <w:rsid w:val="00AF4A80"/>
    <w:rsid w:val="00AF5716"/>
    <w:rsid w:val="00AF5998"/>
    <w:rsid w:val="00AF5B69"/>
    <w:rsid w:val="00AF774F"/>
    <w:rsid w:val="00B009E7"/>
    <w:rsid w:val="00B01B85"/>
    <w:rsid w:val="00B0387F"/>
    <w:rsid w:val="00B06FFF"/>
    <w:rsid w:val="00B071DD"/>
    <w:rsid w:val="00B07DFE"/>
    <w:rsid w:val="00B13DCF"/>
    <w:rsid w:val="00B13E55"/>
    <w:rsid w:val="00B16385"/>
    <w:rsid w:val="00B16537"/>
    <w:rsid w:val="00B166A0"/>
    <w:rsid w:val="00B20BB8"/>
    <w:rsid w:val="00B21B62"/>
    <w:rsid w:val="00B22D1B"/>
    <w:rsid w:val="00B24242"/>
    <w:rsid w:val="00B26D40"/>
    <w:rsid w:val="00B27D5D"/>
    <w:rsid w:val="00B31B6E"/>
    <w:rsid w:val="00B32F59"/>
    <w:rsid w:val="00B331FA"/>
    <w:rsid w:val="00B342DB"/>
    <w:rsid w:val="00B37025"/>
    <w:rsid w:val="00B40F38"/>
    <w:rsid w:val="00B4128B"/>
    <w:rsid w:val="00B4168B"/>
    <w:rsid w:val="00B43EA6"/>
    <w:rsid w:val="00B4422D"/>
    <w:rsid w:val="00B5031D"/>
    <w:rsid w:val="00B51E25"/>
    <w:rsid w:val="00B523B4"/>
    <w:rsid w:val="00B523C3"/>
    <w:rsid w:val="00B52E20"/>
    <w:rsid w:val="00B5410C"/>
    <w:rsid w:val="00B54555"/>
    <w:rsid w:val="00B55B4C"/>
    <w:rsid w:val="00B55B57"/>
    <w:rsid w:val="00B568F5"/>
    <w:rsid w:val="00B57961"/>
    <w:rsid w:val="00B579F9"/>
    <w:rsid w:val="00B637F3"/>
    <w:rsid w:val="00B6382B"/>
    <w:rsid w:val="00B640B8"/>
    <w:rsid w:val="00B65578"/>
    <w:rsid w:val="00B65CCB"/>
    <w:rsid w:val="00B67FC2"/>
    <w:rsid w:val="00B716E1"/>
    <w:rsid w:val="00B71806"/>
    <w:rsid w:val="00B73EAB"/>
    <w:rsid w:val="00B74040"/>
    <w:rsid w:val="00B74F64"/>
    <w:rsid w:val="00B76B53"/>
    <w:rsid w:val="00B7738F"/>
    <w:rsid w:val="00B779FB"/>
    <w:rsid w:val="00B830B0"/>
    <w:rsid w:val="00B85DA6"/>
    <w:rsid w:val="00B86D0A"/>
    <w:rsid w:val="00B872A3"/>
    <w:rsid w:val="00B901AA"/>
    <w:rsid w:val="00B93A35"/>
    <w:rsid w:val="00B93C81"/>
    <w:rsid w:val="00B94204"/>
    <w:rsid w:val="00B95035"/>
    <w:rsid w:val="00B96CAD"/>
    <w:rsid w:val="00BA172F"/>
    <w:rsid w:val="00BA2FB9"/>
    <w:rsid w:val="00BA3647"/>
    <w:rsid w:val="00BA3C66"/>
    <w:rsid w:val="00BA4164"/>
    <w:rsid w:val="00BA6EB3"/>
    <w:rsid w:val="00BA7258"/>
    <w:rsid w:val="00BA74BF"/>
    <w:rsid w:val="00BA7E5A"/>
    <w:rsid w:val="00BB08DD"/>
    <w:rsid w:val="00BB1664"/>
    <w:rsid w:val="00BB1BF5"/>
    <w:rsid w:val="00BB1F1A"/>
    <w:rsid w:val="00BB35F9"/>
    <w:rsid w:val="00BB3FA5"/>
    <w:rsid w:val="00BB5D89"/>
    <w:rsid w:val="00BB66CE"/>
    <w:rsid w:val="00BB7D9A"/>
    <w:rsid w:val="00BC0CA8"/>
    <w:rsid w:val="00BC17DE"/>
    <w:rsid w:val="00BC22DA"/>
    <w:rsid w:val="00BC57BE"/>
    <w:rsid w:val="00BC5BC7"/>
    <w:rsid w:val="00BC5E97"/>
    <w:rsid w:val="00BC603B"/>
    <w:rsid w:val="00BC677E"/>
    <w:rsid w:val="00BC7352"/>
    <w:rsid w:val="00BD0ED2"/>
    <w:rsid w:val="00BD1C90"/>
    <w:rsid w:val="00BD606A"/>
    <w:rsid w:val="00BD69CD"/>
    <w:rsid w:val="00BD6B7E"/>
    <w:rsid w:val="00BE06B4"/>
    <w:rsid w:val="00BE08E0"/>
    <w:rsid w:val="00BE2425"/>
    <w:rsid w:val="00BE27F6"/>
    <w:rsid w:val="00BE4402"/>
    <w:rsid w:val="00BE5C15"/>
    <w:rsid w:val="00BE5D98"/>
    <w:rsid w:val="00BE5F14"/>
    <w:rsid w:val="00BE6428"/>
    <w:rsid w:val="00BE6595"/>
    <w:rsid w:val="00BF0566"/>
    <w:rsid w:val="00BF0B5D"/>
    <w:rsid w:val="00BF0EEE"/>
    <w:rsid w:val="00BF54DA"/>
    <w:rsid w:val="00BF63CD"/>
    <w:rsid w:val="00BF754E"/>
    <w:rsid w:val="00C00336"/>
    <w:rsid w:val="00C0394F"/>
    <w:rsid w:val="00C03DFF"/>
    <w:rsid w:val="00C05DB9"/>
    <w:rsid w:val="00C074BC"/>
    <w:rsid w:val="00C12AC6"/>
    <w:rsid w:val="00C13FCE"/>
    <w:rsid w:val="00C1411E"/>
    <w:rsid w:val="00C1492B"/>
    <w:rsid w:val="00C14F5E"/>
    <w:rsid w:val="00C1671C"/>
    <w:rsid w:val="00C17880"/>
    <w:rsid w:val="00C201D1"/>
    <w:rsid w:val="00C209A4"/>
    <w:rsid w:val="00C248E8"/>
    <w:rsid w:val="00C24928"/>
    <w:rsid w:val="00C25110"/>
    <w:rsid w:val="00C26280"/>
    <w:rsid w:val="00C27B24"/>
    <w:rsid w:val="00C30FCB"/>
    <w:rsid w:val="00C31B31"/>
    <w:rsid w:val="00C31FE3"/>
    <w:rsid w:val="00C32725"/>
    <w:rsid w:val="00C32FA8"/>
    <w:rsid w:val="00C349EA"/>
    <w:rsid w:val="00C402CA"/>
    <w:rsid w:val="00C42D0B"/>
    <w:rsid w:val="00C431C7"/>
    <w:rsid w:val="00C45364"/>
    <w:rsid w:val="00C45EAE"/>
    <w:rsid w:val="00C465C1"/>
    <w:rsid w:val="00C4712D"/>
    <w:rsid w:val="00C47BCE"/>
    <w:rsid w:val="00C509C1"/>
    <w:rsid w:val="00C53CED"/>
    <w:rsid w:val="00C55091"/>
    <w:rsid w:val="00C55D5B"/>
    <w:rsid w:val="00C567C9"/>
    <w:rsid w:val="00C57A83"/>
    <w:rsid w:val="00C57C93"/>
    <w:rsid w:val="00C605A7"/>
    <w:rsid w:val="00C60E5B"/>
    <w:rsid w:val="00C6518B"/>
    <w:rsid w:val="00C655A4"/>
    <w:rsid w:val="00C666A8"/>
    <w:rsid w:val="00C67F1F"/>
    <w:rsid w:val="00C70FC2"/>
    <w:rsid w:val="00C7160A"/>
    <w:rsid w:val="00C72FE2"/>
    <w:rsid w:val="00C74E06"/>
    <w:rsid w:val="00C800B9"/>
    <w:rsid w:val="00C8026C"/>
    <w:rsid w:val="00C813E9"/>
    <w:rsid w:val="00C82A34"/>
    <w:rsid w:val="00C82ECE"/>
    <w:rsid w:val="00C83538"/>
    <w:rsid w:val="00C836B2"/>
    <w:rsid w:val="00C83A53"/>
    <w:rsid w:val="00C848DC"/>
    <w:rsid w:val="00C8572B"/>
    <w:rsid w:val="00C871F2"/>
    <w:rsid w:val="00C87731"/>
    <w:rsid w:val="00C90916"/>
    <w:rsid w:val="00C923FC"/>
    <w:rsid w:val="00C937E7"/>
    <w:rsid w:val="00C95598"/>
    <w:rsid w:val="00CA3142"/>
    <w:rsid w:val="00CA4B9D"/>
    <w:rsid w:val="00CA4F00"/>
    <w:rsid w:val="00CA50BC"/>
    <w:rsid w:val="00CA7770"/>
    <w:rsid w:val="00CA7910"/>
    <w:rsid w:val="00CA7C31"/>
    <w:rsid w:val="00CA7F5A"/>
    <w:rsid w:val="00CB0CDA"/>
    <w:rsid w:val="00CB1E6B"/>
    <w:rsid w:val="00CB2474"/>
    <w:rsid w:val="00CB3383"/>
    <w:rsid w:val="00CB6879"/>
    <w:rsid w:val="00CC2499"/>
    <w:rsid w:val="00CC309F"/>
    <w:rsid w:val="00CC39A5"/>
    <w:rsid w:val="00CC5A25"/>
    <w:rsid w:val="00CC614D"/>
    <w:rsid w:val="00CC618E"/>
    <w:rsid w:val="00CD182C"/>
    <w:rsid w:val="00CD2219"/>
    <w:rsid w:val="00CE080E"/>
    <w:rsid w:val="00CE2003"/>
    <w:rsid w:val="00CE42F4"/>
    <w:rsid w:val="00CE453A"/>
    <w:rsid w:val="00CE48C5"/>
    <w:rsid w:val="00CE5F8F"/>
    <w:rsid w:val="00CF1FCC"/>
    <w:rsid w:val="00CF3AF1"/>
    <w:rsid w:val="00CF574E"/>
    <w:rsid w:val="00CF5799"/>
    <w:rsid w:val="00CF6DDF"/>
    <w:rsid w:val="00D01E11"/>
    <w:rsid w:val="00D0365D"/>
    <w:rsid w:val="00D03A37"/>
    <w:rsid w:val="00D03C7C"/>
    <w:rsid w:val="00D0481F"/>
    <w:rsid w:val="00D06D4B"/>
    <w:rsid w:val="00D07477"/>
    <w:rsid w:val="00D075EB"/>
    <w:rsid w:val="00D07B4B"/>
    <w:rsid w:val="00D105A2"/>
    <w:rsid w:val="00D10EA4"/>
    <w:rsid w:val="00D1245C"/>
    <w:rsid w:val="00D12A46"/>
    <w:rsid w:val="00D12CC1"/>
    <w:rsid w:val="00D14116"/>
    <w:rsid w:val="00D177B8"/>
    <w:rsid w:val="00D24C46"/>
    <w:rsid w:val="00D250D2"/>
    <w:rsid w:val="00D25342"/>
    <w:rsid w:val="00D2572F"/>
    <w:rsid w:val="00D26B6F"/>
    <w:rsid w:val="00D2778E"/>
    <w:rsid w:val="00D27F4F"/>
    <w:rsid w:val="00D31B27"/>
    <w:rsid w:val="00D32075"/>
    <w:rsid w:val="00D32250"/>
    <w:rsid w:val="00D3268D"/>
    <w:rsid w:val="00D34272"/>
    <w:rsid w:val="00D365AB"/>
    <w:rsid w:val="00D3689A"/>
    <w:rsid w:val="00D37E3C"/>
    <w:rsid w:val="00D40676"/>
    <w:rsid w:val="00D40C6B"/>
    <w:rsid w:val="00D444DD"/>
    <w:rsid w:val="00D45A36"/>
    <w:rsid w:val="00D47339"/>
    <w:rsid w:val="00D47510"/>
    <w:rsid w:val="00D50716"/>
    <w:rsid w:val="00D50C45"/>
    <w:rsid w:val="00D510CB"/>
    <w:rsid w:val="00D51E25"/>
    <w:rsid w:val="00D534F2"/>
    <w:rsid w:val="00D55849"/>
    <w:rsid w:val="00D609A5"/>
    <w:rsid w:val="00D60F84"/>
    <w:rsid w:val="00D6161F"/>
    <w:rsid w:val="00D63258"/>
    <w:rsid w:val="00D63430"/>
    <w:rsid w:val="00D637E7"/>
    <w:rsid w:val="00D63975"/>
    <w:rsid w:val="00D63F96"/>
    <w:rsid w:val="00D64E4F"/>
    <w:rsid w:val="00D65F77"/>
    <w:rsid w:val="00D66D1A"/>
    <w:rsid w:val="00D7211A"/>
    <w:rsid w:val="00D75514"/>
    <w:rsid w:val="00D75AF6"/>
    <w:rsid w:val="00D77995"/>
    <w:rsid w:val="00D77AE3"/>
    <w:rsid w:val="00D81DAC"/>
    <w:rsid w:val="00D8298E"/>
    <w:rsid w:val="00D84DAF"/>
    <w:rsid w:val="00D85A48"/>
    <w:rsid w:val="00D865A6"/>
    <w:rsid w:val="00D86E8D"/>
    <w:rsid w:val="00D87D65"/>
    <w:rsid w:val="00D90557"/>
    <w:rsid w:val="00D90685"/>
    <w:rsid w:val="00D91624"/>
    <w:rsid w:val="00D921E8"/>
    <w:rsid w:val="00D926B9"/>
    <w:rsid w:val="00D93C30"/>
    <w:rsid w:val="00D94851"/>
    <w:rsid w:val="00D97A28"/>
    <w:rsid w:val="00DA1FE2"/>
    <w:rsid w:val="00DA5C8D"/>
    <w:rsid w:val="00DB4B34"/>
    <w:rsid w:val="00DB7CFB"/>
    <w:rsid w:val="00DC113C"/>
    <w:rsid w:val="00DC1633"/>
    <w:rsid w:val="00DC1C23"/>
    <w:rsid w:val="00DC1F9F"/>
    <w:rsid w:val="00DC4FEE"/>
    <w:rsid w:val="00DC5BA1"/>
    <w:rsid w:val="00DC6457"/>
    <w:rsid w:val="00DC793F"/>
    <w:rsid w:val="00DC7E2F"/>
    <w:rsid w:val="00DC7FDF"/>
    <w:rsid w:val="00DD09A3"/>
    <w:rsid w:val="00DD2CC8"/>
    <w:rsid w:val="00DD38C9"/>
    <w:rsid w:val="00DD5E95"/>
    <w:rsid w:val="00DD7440"/>
    <w:rsid w:val="00DD75E0"/>
    <w:rsid w:val="00DE04DF"/>
    <w:rsid w:val="00DE1131"/>
    <w:rsid w:val="00DE1DF3"/>
    <w:rsid w:val="00DE2045"/>
    <w:rsid w:val="00DE293A"/>
    <w:rsid w:val="00DF1354"/>
    <w:rsid w:val="00DF1AF0"/>
    <w:rsid w:val="00DF280E"/>
    <w:rsid w:val="00DF3A65"/>
    <w:rsid w:val="00DF41AE"/>
    <w:rsid w:val="00DF45AD"/>
    <w:rsid w:val="00DF4DDE"/>
    <w:rsid w:val="00DF4F75"/>
    <w:rsid w:val="00DF5750"/>
    <w:rsid w:val="00DF6487"/>
    <w:rsid w:val="00DF68D8"/>
    <w:rsid w:val="00DF729B"/>
    <w:rsid w:val="00E014E1"/>
    <w:rsid w:val="00E016D8"/>
    <w:rsid w:val="00E03DC7"/>
    <w:rsid w:val="00E041EF"/>
    <w:rsid w:val="00E04E92"/>
    <w:rsid w:val="00E06D0E"/>
    <w:rsid w:val="00E10481"/>
    <w:rsid w:val="00E10ABC"/>
    <w:rsid w:val="00E11573"/>
    <w:rsid w:val="00E1180E"/>
    <w:rsid w:val="00E1430A"/>
    <w:rsid w:val="00E211CD"/>
    <w:rsid w:val="00E23086"/>
    <w:rsid w:val="00E2433B"/>
    <w:rsid w:val="00E24AA7"/>
    <w:rsid w:val="00E264EA"/>
    <w:rsid w:val="00E3002C"/>
    <w:rsid w:val="00E31538"/>
    <w:rsid w:val="00E336F5"/>
    <w:rsid w:val="00E33CE4"/>
    <w:rsid w:val="00E344BA"/>
    <w:rsid w:val="00E3514C"/>
    <w:rsid w:val="00E36459"/>
    <w:rsid w:val="00E3712E"/>
    <w:rsid w:val="00E375FA"/>
    <w:rsid w:val="00E37FA6"/>
    <w:rsid w:val="00E410C9"/>
    <w:rsid w:val="00E42C04"/>
    <w:rsid w:val="00E42E30"/>
    <w:rsid w:val="00E43D67"/>
    <w:rsid w:val="00E441FC"/>
    <w:rsid w:val="00E45058"/>
    <w:rsid w:val="00E45476"/>
    <w:rsid w:val="00E46FA5"/>
    <w:rsid w:val="00E47296"/>
    <w:rsid w:val="00E51F31"/>
    <w:rsid w:val="00E52794"/>
    <w:rsid w:val="00E54128"/>
    <w:rsid w:val="00E54F58"/>
    <w:rsid w:val="00E554EC"/>
    <w:rsid w:val="00E55A6A"/>
    <w:rsid w:val="00E57047"/>
    <w:rsid w:val="00E5716D"/>
    <w:rsid w:val="00E57D89"/>
    <w:rsid w:val="00E60012"/>
    <w:rsid w:val="00E60DF0"/>
    <w:rsid w:val="00E63026"/>
    <w:rsid w:val="00E6377E"/>
    <w:rsid w:val="00E642BA"/>
    <w:rsid w:val="00E64A1F"/>
    <w:rsid w:val="00E64FF4"/>
    <w:rsid w:val="00E65347"/>
    <w:rsid w:val="00E67DFB"/>
    <w:rsid w:val="00E7095A"/>
    <w:rsid w:val="00E7532C"/>
    <w:rsid w:val="00E76067"/>
    <w:rsid w:val="00E764B0"/>
    <w:rsid w:val="00E83FA8"/>
    <w:rsid w:val="00E843E9"/>
    <w:rsid w:val="00E86F4C"/>
    <w:rsid w:val="00E90826"/>
    <w:rsid w:val="00E9390A"/>
    <w:rsid w:val="00E93B44"/>
    <w:rsid w:val="00E93FB7"/>
    <w:rsid w:val="00E94430"/>
    <w:rsid w:val="00E95756"/>
    <w:rsid w:val="00EA1181"/>
    <w:rsid w:val="00EA12FC"/>
    <w:rsid w:val="00EA2CEF"/>
    <w:rsid w:val="00EA4E3F"/>
    <w:rsid w:val="00EB08D0"/>
    <w:rsid w:val="00EB2D6A"/>
    <w:rsid w:val="00EB3FC6"/>
    <w:rsid w:val="00EB6448"/>
    <w:rsid w:val="00EB64C0"/>
    <w:rsid w:val="00EC0251"/>
    <w:rsid w:val="00EC1230"/>
    <w:rsid w:val="00EC3972"/>
    <w:rsid w:val="00EC41AC"/>
    <w:rsid w:val="00EC5769"/>
    <w:rsid w:val="00EC6E0F"/>
    <w:rsid w:val="00ED124B"/>
    <w:rsid w:val="00ED19B5"/>
    <w:rsid w:val="00ED1F28"/>
    <w:rsid w:val="00ED2549"/>
    <w:rsid w:val="00ED393C"/>
    <w:rsid w:val="00ED6F4C"/>
    <w:rsid w:val="00EE10E4"/>
    <w:rsid w:val="00EE24B5"/>
    <w:rsid w:val="00EE383A"/>
    <w:rsid w:val="00EE5D88"/>
    <w:rsid w:val="00EE6B4F"/>
    <w:rsid w:val="00EF0561"/>
    <w:rsid w:val="00EF1FAB"/>
    <w:rsid w:val="00EF2542"/>
    <w:rsid w:val="00EF3FE7"/>
    <w:rsid w:val="00EF59BB"/>
    <w:rsid w:val="00EF6333"/>
    <w:rsid w:val="00EF6346"/>
    <w:rsid w:val="00EF70CD"/>
    <w:rsid w:val="00F00C39"/>
    <w:rsid w:val="00F01DE2"/>
    <w:rsid w:val="00F0293A"/>
    <w:rsid w:val="00F0350D"/>
    <w:rsid w:val="00F04F13"/>
    <w:rsid w:val="00F0568E"/>
    <w:rsid w:val="00F07C78"/>
    <w:rsid w:val="00F10E7F"/>
    <w:rsid w:val="00F1146A"/>
    <w:rsid w:val="00F1181C"/>
    <w:rsid w:val="00F1214E"/>
    <w:rsid w:val="00F12EA3"/>
    <w:rsid w:val="00F12FD9"/>
    <w:rsid w:val="00F130EB"/>
    <w:rsid w:val="00F13BF3"/>
    <w:rsid w:val="00F153E8"/>
    <w:rsid w:val="00F162F5"/>
    <w:rsid w:val="00F171FC"/>
    <w:rsid w:val="00F2182A"/>
    <w:rsid w:val="00F232CC"/>
    <w:rsid w:val="00F252F5"/>
    <w:rsid w:val="00F26078"/>
    <w:rsid w:val="00F2643E"/>
    <w:rsid w:val="00F2655D"/>
    <w:rsid w:val="00F26FFE"/>
    <w:rsid w:val="00F279F3"/>
    <w:rsid w:val="00F30FCD"/>
    <w:rsid w:val="00F32096"/>
    <w:rsid w:val="00F328B6"/>
    <w:rsid w:val="00F34028"/>
    <w:rsid w:val="00F341FB"/>
    <w:rsid w:val="00F35684"/>
    <w:rsid w:val="00F35F1F"/>
    <w:rsid w:val="00F36428"/>
    <w:rsid w:val="00F36940"/>
    <w:rsid w:val="00F36F08"/>
    <w:rsid w:val="00F40209"/>
    <w:rsid w:val="00F41C05"/>
    <w:rsid w:val="00F41D3E"/>
    <w:rsid w:val="00F44ACD"/>
    <w:rsid w:val="00F44B04"/>
    <w:rsid w:val="00F45104"/>
    <w:rsid w:val="00F45447"/>
    <w:rsid w:val="00F454E3"/>
    <w:rsid w:val="00F51597"/>
    <w:rsid w:val="00F5461E"/>
    <w:rsid w:val="00F55625"/>
    <w:rsid w:val="00F5563C"/>
    <w:rsid w:val="00F55B33"/>
    <w:rsid w:val="00F56971"/>
    <w:rsid w:val="00F574D2"/>
    <w:rsid w:val="00F57EE8"/>
    <w:rsid w:val="00F62193"/>
    <w:rsid w:val="00F642C5"/>
    <w:rsid w:val="00F71427"/>
    <w:rsid w:val="00F71511"/>
    <w:rsid w:val="00F72F1F"/>
    <w:rsid w:val="00F763BB"/>
    <w:rsid w:val="00F767AD"/>
    <w:rsid w:val="00F769B0"/>
    <w:rsid w:val="00F76AC5"/>
    <w:rsid w:val="00F77E1C"/>
    <w:rsid w:val="00F80055"/>
    <w:rsid w:val="00F8043B"/>
    <w:rsid w:val="00F814A1"/>
    <w:rsid w:val="00F8183A"/>
    <w:rsid w:val="00F81A0B"/>
    <w:rsid w:val="00F81F45"/>
    <w:rsid w:val="00F8311E"/>
    <w:rsid w:val="00F83C3D"/>
    <w:rsid w:val="00F83DA8"/>
    <w:rsid w:val="00F83FD4"/>
    <w:rsid w:val="00F8453B"/>
    <w:rsid w:val="00F84E24"/>
    <w:rsid w:val="00F858A1"/>
    <w:rsid w:val="00F87284"/>
    <w:rsid w:val="00F90224"/>
    <w:rsid w:val="00F907C1"/>
    <w:rsid w:val="00F909F1"/>
    <w:rsid w:val="00F90EB1"/>
    <w:rsid w:val="00F922D4"/>
    <w:rsid w:val="00F92677"/>
    <w:rsid w:val="00F92A65"/>
    <w:rsid w:val="00F93BCA"/>
    <w:rsid w:val="00F93C65"/>
    <w:rsid w:val="00F93E04"/>
    <w:rsid w:val="00F961EC"/>
    <w:rsid w:val="00FA1A2A"/>
    <w:rsid w:val="00FA1CFA"/>
    <w:rsid w:val="00FA2734"/>
    <w:rsid w:val="00FA7BB2"/>
    <w:rsid w:val="00FB06B4"/>
    <w:rsid w:val="00FB291D"/>
    <w:rsid w:val="00FB365F"/>
    <w:rsid w:val="00FB4EDF"/>
    <w:rsid w:val="00FC00C5"/>
    <w:rsid w:val="00FC0A27"/>
    <w:rsid w:val="00FC17DB"/>
    <w:rsid w:val="00FC3190"/>
    <w:rsid w:val="00FC4DB9"/>
    <w:rsid w:val="00FC6E72"/>
    <w:rsid w:val="00FC739F"/>
    <w:rsid w:val="00FD0492"/>
    <w:rsid w:val="00FD384E"/>
    <w:rsid w:val="00FD6163"/>
    <w:rsid w:val="00FD65EC"/>
    <w:rsid w:val="00FD738D"/>
    <w:rsid w:val="00FE0439"/>
    <w:rsid w:val="00FE1D31"/>
    <w:rsid w:val="00FE4FDA"/>
    <w:rsid w:val="00FF08B6"/>
    <w:rsid w:val="00FF2AA9"/>
    <w:rsid w:val="00FF3E86"/>
    <w:rsid w:val="00FF462C"/>
    <w:rsid w:val="00FF6733"/>
    <w:rsid w:val="00FF6AB6"/>
    <w:rsid w:val="00FF71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C3501"/>
  <w15:chartTrackingRefBased/>
  <w15:docId w15:val="{6A944382-21F5-459E-8C90-EDEA243B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49"/>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link w:val="Ttulo2Car"/>
    <w:uiPriority w:val="9"/>
    <w:unhideWhenUsed/>
    <w:qFormat/>
    <w:rsid w:val="000940EF"/>
    <w:pPr>
      <w:ind w:left="102"/>
      <w:outlineLvl w:val="1"/>
    </w:pPr>
    <w:rPr>
      <w:b/>
      <w:bCs/>
      <w:sz w:val="28"/>
      <w:szCs w:val="28"/>
    </w:rPr>
  </w:style>
  <w:style w:type="paragraph" w:styleId="Ttulo3">
    <w:name w:val="heading 3"/>
    <w:basedOn w:val="Normal"/>
    <w:next w:val="Normal"/>
    <w:link w:val="Ttulo3Car"/>
    <w:uiPriority w:val="9"/>
    <w:semiHidden/>
    <w:unhideWhenUsed/>
    <w:qFormat/>
    <w:rsid w:val="00734A1C"/>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4551"/>
    <w:rPr>
      <w:color w:val="0563C1" w:themeColor="hyperlink"/>
      <w:u w:val="single"/>
    </w:rPr>
  </w:style>
  <w:style w:type="character" w:styleId="nfasis">
    <w:name w:val="Emphasis"/>
    <w:basedOn w:val="Fuentedeprrafopredeter"/>
    <w:uiPriority w:val="20"/>
    <w:qFormat/>
    <w:rsid w:val="00F72F1F"/>
    <w:rPr>
      <w:i/>
      <w:iCs/>
    </w:rPr>
  </w:style>
  <w:style w:type="paragraph" w:styleId="Sinespaciado">
    <w:name w:val="No Spacing"/>
    <w:uiPriority w:val="1"/>
    <w:qFormat/>
    <w:rsid w:val="003E1B35"/>
    <w:pPr>
      <w:spacing w:after="0" w:line="240" w:lineRule="auto"/>
    </w:pPr>
  </w:style>
  <w:style w:type="table" w:styleId="Tablaconcuadrcula">
    <w:name w:val="Table Grid"/>
    <w:basedOn w:val="Tablanormal"/>
    <w:uiPriority w:val="39"/>
    <w:rsid w:val="0086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52665"/>
    <w:pPr>
      <w:spacing w:after="160" w:line="259" w:lineRule="auto"/>
      <w:ind w:left="720"/>
      <w:contextualSpacing/>
    </w:pPr>
    <w:rPr>
      <w:rFonts w:asciiTheme="minorHAnsi" w:eastAsiaTheme="minorHAnsi" w:hAnsiTheme="minorHAnsi" w:cstheme="minorBidi"/>
      <w:sz w:val="22"/>
      <w:szCs w:val="22"/>
      <w:lang w:eastAsia="en-US"/>
    </w:rPr>
  </w:style>
  <w:style w:type="table" w:styleId="Tablanormal5">
    <w:name w:val="Plain Table 5"/>
    <w:basedOn w:val="Tablanormal"/>
    <w:uiPriority w:val="45"/>
    <w:rsid w:val="00BC17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3-nfasis3">
    <w:name w:val="Grid Table 3 Accent 3"/>
    <w:basedOn w:val="Tablanormal"/>
    <w:uiPriority w:val="48"/>
    <w:rsid w:val="00BC17D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clara">
    <w:name w:val="Grid Table Light"/>
    <w:basedOn w:val="Tablanormal"/>
    <w:uiPriority w:val="40"/>
    <w:rsid w:val="006C68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7concolores">
    <w:name w:val="List Table 7 Colorful"/>
    <w:basedOn w:val="Tablanormal"/>
    <w:uiPriority w:val="52"/>
    <w:rsid w:val="006C689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7concolores-nfasis3">
    <w:name w:val="Grid Table 7 Colorful Accent 3"/>
    <w:basedOn w:val="Tablanormal"/>
    <w:uiPriority w:val="52"/>
    <w:rsid w:val="006C689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6concolores-nfasis3">
    <w:name w:val="Grid Table 6 Colorful Accent 3"/>
    <w:basedOn w:val="Tablanormal"/>
    <w:uiPriority w:val="51"/>
    <w:rsid w:val="006C689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3">
    <w:name w:val="Grid Table 1 Light Accent 3"/>
    <w:basedOn w:val="Tablanormal"/>
    <w:uiPriority w:val="46"/>
    <w:rsid w:val="006C68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6C6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811A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EF1FAB"/>
    <w:pPr>
      <w:autoSpaceDE w:val="0"/>
      <w:autoSpaceDN w:val="0"/>
      <w:adjustRightInd w:val="0"/>
      <w:spacing w:after="0" w:line="240" w:lineRule="auto"/>
    </w:pPr>
    <w:rPr>
      <w:rFonts w:ascii="Calibri" w:hAnsi="Calibri" w:cs="Calibri"/>
      <w:color w:val="000000"/>
      <w:sz w:val="24"/>
      <w:szCs w:val="24"/>
    </w:rPr>
  </w:style>
  <w:style w:type="paragraph" w:styleId="HTMLconformatoprevio">
    <w:name w:val="HTML Preformatted"/>
    <w:basedOn w:val="Normal"/>
    <w:link w:val="HTMLconformatoprevioCar"/>
    <w:uiPriority w:val="99"/>
    <w:unhideWhenUsed/>
    <w:rsid w:val="0009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0940EF"/>
    <w:rPr>
      <w:rFonts w:ascii="Courier New" w:eastAsia="Times New Roman" w:hAnsi="Courier New" w:cs="Courier New"/>
      <w:sz w:val="20"/>
      <w:szCs w:val="20"/>
      <w:lang w:eastAsia="es-ES_tradnl"/>
    </w:rPr>
  </w:style>
  <w:style w:type="character" w:styleId="Mencinsinresolver">
    <w:name w:val="Unresolved Mention"/>
    <w:basedOn w:val="Fuentedeprrafopredeter"/>
    <w:uiPriority w:val="99"/>
    <w:semiHidden/>
    <w:unhideWhenUsed/>
    <w:rsid w:val="000940EF"/>
    <w:rPr>
      <w:color w:val="605E5C"/>
      <w:shd w:val="clear" w:color="auto" w:fill="E1DFDD"/>
    </w:rPr>
  </w:style>
  <w:style w:type="character" w:customStyle="1" w:styleId="jlqj4b">
    <w:name w:val="jlqj4b"/>
    <w:basedOn w:val="Fuentedeprrafopredeter"/>
    <w:rsid w:val="000940EF"/>
  </w:style>
  <w:style w:type="character" w:customStyle="1" w:styleId="Ttulo2Car">
    <w:name w:val="Título 2 Car"/>
    <w:basedOn w:val="Fuentedeprrafopredeter"/>
    <w:link w:val="Ttulo2"/>
    <w:uiPriority w:val="9"/>
    <w:rsid w:val="000940EF"/>
    <w:rPr>
      <w:rFonts w:ascii="Times New Roman" w:eastAsia="Times New Roman" w:hAnsi="Times New Roman" w:cs="Times New Roman"/>
      <w:b/>
      <w:bCs/>
      <w:sz w:val="28"/>
      <w:szCs w:val="28"/>
      <w:lang w:eastAsia="es-MX"/>
    </w:rPr>
  </w:style>
  <w:style w:type="character" w:customStyle="1" w:styleId="viiyi">
    <w:name w:val="viiyi"/>
    <w:basedOn w:val="Fuentedeprrafopredeter"/>
    <w:rsid w:val="000D2313"/>
  </w:style>
  <w:style w:type="character" w:customStyle="1" w:styleId="y2iqfc">
    <w:name w:val="y2iqfc"/>
    <w:basedOn w:val="Fuentedeprrafopredeter"/>
    <w:rsid w:val="004A7F40"/>
  </w:style>
  <w:style w:type="character" w:styleId="Refdecomentario">
    <w:name w:val="annotation reference"/>
    <w:basedOn w:val="Fuentedeprrafopredeter"/>
    <w:uiPriority w:val="99"/>
    <w:semiHidden/>
    <w:unhideWhenUsed/>
    <w:rsid w:val="002509F8"/>
    <w:rPr>
      <w:sz w:val="16"/>
      <w:szCs w:val="16"/>
    </w:rPr>
  </w:style>
  <w:style w:type="paragraph" w:styleId="Textocomentario">
    <w:name w:val="annotation text"/>
    <w:basedOn w:val="Normal"/>
    <w:link w:val="TextocomentarioCar"/>
    <w:uiPriority w:val="99"/>
    <w:semiHidden/>
    <w:unhideWhenUsed/>
    <w:rsid w:val="002509F8"/>
    <w:rPr>
      <w:sz w:val="20"/>
      <w:szCs w:val="20"/>
    </w:rPr>
  </w:style>
  <w:style w:type="character" w:customStyle="1" w:styleId="TextocomentarioCar">
    <w:name w:val="Texto comentario Car"/>
    <w:basedOn w:val="Fuentedeprrafopredeter"/>
    <w:link w:val="Textocomentario"/>
    <w:uiPriority w:val="99"/>
    <w:semiHidden/>
    <w:rsid w:val="002509F8"/>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509F8"/>
    <w:rPr>
      <w:b/>
      <w:bCs/>
    </w:rPr>
  </w:style>
  <w:style w:type="character" w:customStyle="1" w:styleId="AsuntodelcomentarioCar">
    <w:name w:val="Asunto del comentario Car"/>
    <w:basedOn w:val="TextocomentarioCar"/>
    <w:link w:val="Asuntodelcomentario"/>
    <w:uiPriority w:val="99"/>
    <w:semiHidden/>
    <w:rsid w:val="002509F8"/>
    <w:rPr>
      <w:rFonts w:ascii="Times New Roman" w:eastAsia="Times New Roman" w:hAnsi="Times New Roman" w:cs="Times New Roman"/>
      <w:b/>
      <w:bCs/>
      <w:sz w:val="20"/>
      <w:szCs w:val="20"/>
      <w:lang w:eastAsia="es-MX"/>
    </w:rPr>
  </w:style>
  <w:style w:type="paragraph" w:styleId="Encabezado">
    <w:name w:val="header"/>
    <w:basedOn w:val="Normal"/>
    <w:link w:val="EncabezadoCar"/>
    <w:uiPriority w:val="99"/>
    <w:unhideWhenUsed/>
    <w:rsid w:val="009E3E75"/>
    <w:pPr>
      <w:tabs>
        <w:tab w:val="center" w:pos="4419"/>
        <w:tab w:val="right" w:pos="8838"/>
      </w:tabs>
    </w:pPr>
  </w:style>
  <w:style w:type="character" w:customStyle="1" w:styleId="EncabezadoCar">
    <w:name w:val="Encabezado Car"/>
    <w:basedOn w:val="Fuentedeprrafopredeter"/>
    <w:link w:val="Encabezado"/>
    <w:uiPriority w:val="99"/>
    <w:rsid w:val="009E3E7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9E3E75"/>
    <w:pPr>
      <w:tabs>
        <w:tab w:val="center" w:pos="4419"/>
        <w:tab w:val="right" w:pos="8838"/>
      </w:tabs>
    </w:pPr>
  </w:style>
  <w:style w:type="character" w:customStyle="1" w:styleId="PiedepginaCar">
    <w:name w:val="Pie de página Car"/>
    <w:basedOn w:val="Fuentedeprrafopredeter"/>
    <w:link w:val="Piedepgina"/>
    <w:uiPriority w:val="99"/>
    <w:rsid w:val="009E3E75"/>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734A1C"/>
    <w:rPr>
      <w:rFonts w:asciiTheme="majorHAnsi" w:eastAsiaTheme="majorEastAsia" w:hAnsiTheme="majorHAnsi" w:cstheme="majorBidi"/>
      <w:color w:val="1F4D78" w:themeColor="accent1" w:themeShade="7F"/>
      <w:sz w:val="24"/>
      <w:szCs w:val="24"/>
      <w:lang w:eastAsia="es-MX"/>
    </w:rPr>
  </w:style>
  <w:style w:type="table" w:customStyle="1" w:styleId="Tablanormal42">
    <w:name w:val="Tabla normal 42"/>
    <w:basedOn w:val="Tablanormal"/>
    <w:next w:val="Tablanormal4"/>
    <w:uiPriority w:val="44"/>
    <w:rsid w:val="00441AF2"/>
    <w:pPr>
      <w:spacing w:after="0" w:line="240" w:lineRule="auto"/>
    </w:pPr>
    <w:rPr>
      <w:rFonts w:ascii="Arial" w:hAnsi="Arial" w:cs="Arial"/>
      <w:color w:val="0563C1" w:themeColor="hyperlink"/>
      <w:sz w:val="24"/>
      <w:szCs w:val="24"/>
      <w:u w:val="singl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441AF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28">
      <w:bodyDiv w:val="1"/>
      <w:marLeft w:val="0"/>
      <w:marRight w:val="0"/>
      <w:marTop w:val="0"/>
      <w:marBottom w:val="0"/>
      <w:divBdr>
        <w:top w:val="none" w:sz="0" w:space="0" w:color="auto"/>
        <w:left w:val="none" w:sz="0" w:space="0" w:color="auto"/>
        <w:bottom w:val="none" w:sz="0" w:space="0" w:color="auto"/>
        <w:right w:val="none" w:sz="0" w:space="0" w:color="auto"/>
      </w:divBdr>
      <w:divsChild>
        <w:div w:id="1739399531">
          <w:marLeft w:val="547"/>
          <w:marRight w:val="0"/>
          <w:marTop w:val="0"/>
          <w:marBottom w:val="0"/>
          <w:divBdr>
            <w:top w:val="none" w:sz="0" w:space="0" w:color="auto"/>
            <w:left w:val="none" w:sz="0" w:space="0" w:color="auto"/>
            <w:bottom w:val="none" w:sz="0" w:space="0" w:color="auto"/>
            <w:right w:val="none" w:sz="0" w:space="0" w:color="auto"/>
          </w:divBdr>
        </w:div>
        <w:div w:id="941500164">
          <w:marLeft w:val="547"/>
          <w:marRight w:val="0"/>
          <w:marTop w:val="0"/>
          <w:marBottom w:val="0"/>
          <w:divBdr>
            <w:top w:val="none" w:sz="0" w:space="0" w:color="auto"/>
            <w:left w:val="none" w:sz="0" w:space="0" w:color="auto"/>
            <w:bottom w:val="none" w:sz="0" w:space="0" w:color="auto"/>
            <w:right w:val="none" w:sz="0" w:space="0" w:color="auto"/>
          </w:divBdr>
        </w:div>
        <w:div w:id="1818184350">
          <w:marLeft w:val="547"/>
          <w:marRight w:val="0"/>
          <w:marTop w:val="0"/>
          <w:marBottom w:val="0"/>
          <w:divBdr>
            <w:top w:val="none" w:sz="0" w:space="0" w:color="auto"/>
            <w:left w:val="none" w:sz="0" w:space="0" w:color="auto"/>
            <w:bottom w:val="none" w:sz="0" w:space="0" w:color="auto"/>
            <w:right w:val="none" w:sz="0" w:space="0" w:color="auto"/>
          </w:divBdr>
        </w:div>
        <w:div w:id="153225623">
          <w:marLeft w:val="547"/>
          <w:marRight w:val="0"/>
          <w:marTop w:val="0"/>
          <w:marBottom w:val="0"/>
          <w:divBdr>
            <w:top w:val="none" w:sz="0" w:space="0" w:color="auto"/>
            <w:left w:val="none" w:sz="0" w:space="0" w:color="auto"/>
            <w:bottom w:val="none" w:sz="0" w:space="0" w:color="auto"/>
            <w:right w:val="none" w:sz="0" w:space="0" w:color="auto"/>
          </w:divBdr>
        </w:div>
      </w:divsChild>
    </w:div>
    <w:div w:id="89739494">
      <w:bodyDiv w:val="1"/>
      <w:marLeft w:val="0"/>
      <w:marRight w:val="0"/>
      <w:marTop w:val="0"/>
      <w:marBottom w:val="0"/>
      <w:divBdr>
        <w:top w:val="none" w:sz="0" w:space="0" w:color="auto"/>
        <w:left w:val="none" w:sz="0" w:space="0" w:color="auto"/>
        <w:bottom w:val="none" w:sz="0" w:space="0" w:color="auto"/>
        <w:right w:val="none" w:sz="0" w:space="0" w:color="auto"/>
      </w:divBdr>
      <w:divsChild>
        <w:div w:id="445349500">
          <w:marLeft w:val="547"/>
          <w:marRight w:val="0"/>
          <w:marTop w:val="0"/>
          <w:marBottom w:val="0"/>
          <w:divBdr>
            <w:top w:val="none" w:sz="0" w:space="0" w:color="auto"/>
            <w:left w:val="none" w:sz="0" w:space="0" w:color="auto"/>
            <w:bottom w:val="none" w:sz="0" w:space="0" w:color="auto"/>
            <w:right w:val="none" w:sz="0" w:space="0" w:color="auto"/>
          </w:divBdr>
        </w:div>
      </w:divsChild>
    </w:div>
    <w:div w:id="589775956">
      <w:bodyDiv w:val="1"/>
      <w:marLeft w:val="0"/>
      <w:marRight w:val="0"/>
      <w:marTop w:val="0"/>
      <w:marBottom w:val="0"/>
      <w:divBdr>
        <w:top w:val="none" w:sz="0" w:space="0" w:color="auto"/>
        <w:left w:val="none" w:sz="0" w:space="0" w:color="auto"/>
        <w:bottom w:val="none" w:sz="0" w:space="0" w:color="auto"/>
        <w:right w:val="none" w:sz="0" w:space="0" w:color="auto"/>
      </w:divBdr>
    </w:div>
    <w:div w:id="721558433">
      <w:bodyDiv w:val="1"/>
      <w:marLeft w:val="0"/>
      <w:marRight w:val="0"/>
      <w:marTop w:val="0"/>
      <w:marBottom w:val="0"/>
      <w:divBdr>
        <w:top w:val="none" w:sz="0" w:space="0" w:color="auto"/>
        <w:left w:val="none" w:sz="0" w:space="0" w:color="auto"/>
        <w:bottom w:val="none" w:sz="0" w:space="0" w:color="auto"/>
        <w:right w:val="none" w:sz="0" w:space="0" w:color="auto"/>
      </w:divBdr>
    </w:div>
    <w:div w:id="779567450">
      <w:bodyDiv w:val="1"/>
      <w:marLeft w:val="0"/>
      <w:marRight w:val="0"/>
      <w:marTop w:val="0"/>
      <w:marBottom w:val="0"/>
      <w:divBdr>
        <w:top w:val="none" w:sz="0" w:space="0" w:color="auto"/>
        <w:left w:val="none" w:sz="0" w:space="0" w:color="auto"/>
        <w:bottom w:val="none" w:sz="0" w:space="0" w:color="auto"/>
        <w:right w:val="none" w:sz="0" w:space="0" w:color="auto"/>
      </w:divBdr>
      <w:divsChild>
        <w:div w:id="1234966564">
          <w:marLeft w:val="547"/>
          <w:marRight w:val="0"/>
          <w:marTop w:val="0"/>
          <w:marBottom w:val="0"/>
          <w:divBdr>
            <w:top w:val="none" w:sz="0" w:space="0" w:color="auto"/>
            <w:left w:val="none" w:sz="0" w:space="0" w:color="auto"/>
            <w:bottom w:val="none" w:sz="0" w:space="0" w:color="auto"/>
            <w:right w:val="none" w:sz="0" w:space="0" w:color="auto"/>
          </w:divBdr>
        </w:div>
      </w:divsChild>
    </w:div>
    <w:div w:id="1119059604">
      <w:bodyDiv w:val="1"/>
      <w:marLeft w:val="0"/>
      <w:marRight w:val="0"/>
      <w:marTop w:val="0"/>
      <w:marBottom w:val="0"/>
      <w:divBdr>
        <w:top w:val="none" w:sz="0" w:space="0" w:color="auto"/>
        <w:left w:val="none" w:sz="0" w:space="0" w:color="auto"/>
        <w:bottom w:val="none" w:sz="0" w:space="0" w:color="auto"/>
        <w:right w:val="none" w:sz="0" w:space="0" w:color="auto"/>
      </w:divBdr>
      <w:divsChild>
        <w:div w:id="508761895">
          <w:marLeft w:val="547"/>
          <w:marRight w:val="0"/>
          <w:marTop w:val="0"/>
          <w:marBottom w:val="0"/>
          <w:divBdr>
            <w:top w:val="none" w:sz="0" w:space="0" w:color="auto"/>
            <w:left w:val="none" w:sz="0" w:space="0" w:color="auto"/>
            <w:bottom w:val="none" w:sz="0" w:space="0" w:color="auto"/>
            <w:right w:val="none" w:sz="0" w:space="0" w:color="auto"/>
          </w:divBdr>
        </w:div>
      </w:divsChild>
    </w:div>
    <w:div w:id="1228540743">
      <w:bodyDiv w:val="1"/>
      <w:marLeft w:val="0"/>
      <w:marRight w:val="0"/>
      <w:marTop w:val="0"/>
      <w:marBottom w:val="0"/>
      <w:divBdr>
        <w:top w:val="none" w:sz="0" w:space="0" w:color="auto"/>
        <w:left w:val="none" w:sz="0" w:space="0" w:color="auto"/>
        <w:bottom w:val="none" w:sz="0" w:space="0" w:color="auto"/>
        <w:right w:val="none" w:sz="0" w:space="0" w:color="auto"/>
      </w:divBdr>
    </w:div>
    <w:div w:id="1281569916">
      <w:bodyDiv w:val="1"/>
      <w:marLeft w:val="0"/>
      <w:marRight w:val="0"/>
      <w:marTop w:val="0"/>
      <w:marBottom w:val="0"/>
      <w:divBdr>
        <w:top w:val="none" w:sz="0" w:space="0" w:color="auto"/>
        <w:left w:val="none" w:sz="0" w:space="0" w:color="auto"/>
        <w:bottom w:val="none" w:sz="0" w:space="0" w:color="auto"/>
        <w:right w:val="none" w:sz="0" w:space="0" w:color="auto"/>
      </w:divBdr>
      <w:divsChild>
        <w:div w:id="1299454479">
          <w:marLeft w:val="547"/>
          <w:marRight w:val="0"/>
          <w:marTop w:val="0"/>
          <w:marBottom w:val="0"/>
          <w:divBdr>
            <w:top w:val="none" w:sz="0" w:space="0" w:color="auto"/>
            <w:left w:val="none" w:sz="0" w:space="0" w:color="auto"/>
            <w:bottom w:val="none" w:sz="0" w:space="0" w:color="auto"/>
            <w:right w:val="none" w:sz="0" w:space="0" w:color="auto"/>
          </w:divBdr>
        </w:div>
      </w:divsChild>
    </w:div>
    <w:div w:id="1309675863">
      <w:bodyDiv w:val="1"/>
      <w:marLeft w:val="0"/>
      <w:marRight w:val="0"/>
      <w:marTop w:val="0"/>
      <w:marBottom w:val="0"/>
      <w:divBdr>
        <w:top w:val="none" w:sz="0" w:space="0" w:color="auto"/>
        <w:left w:val="none" w:sz="0" w:space="0" w:color="auto"/>
        <w:bottom w:val="none" w:sz="0" w:space="0" w:color="auto"/>
        <w:right w:val="none" w:sz="0" w:space="0" w:color="auto"/>
      </w:divBdr>
    </w:div>
    <w:div w:id="1374304699">
      <w:bodyDiv w:val="1"/>
      <w:marLeft w:val="0"/>
      <w:marRight w:val="0"/>
      <w:marTop w:val="0"/>
      <w:marBottom w:val="0"/>
      <w:divBdr>
        <w:top w:val="none" w:sz="0" w:space="0" w:color="auto"/>
        <w:left w:val="none" w:sz="0" w:space="0" w:color="auto"/>
        <w:bottom w:val="none" w:sz="0" w:space="0" w:color="auto"/>
        <w:right w:val="none" w:sz="0" w:space="0" w:color="auto"/>
      </w:divBdr>
      <w:divsChild>
        <w:div w:id="919288378">
          <w:marLeft w:val="547"/>
          <w:marRight w:val="0"/>
          <w:marTop w:val="0"/>
          <w:marBottom w:val="0"/>
          <w:divBdr>
            <w:top w:val="none" w:sz="0" w:space="0" w:color="auto"/>
            <w:left w:val="none" w:sz="0" w:space="0" w:color="auto"/>
            <w:bottom w:val="none" w:sz="0" w:space="0" w:color="auto"/>
            <w:right w:val="none" w:sz="0" w:space="0" w:color="auto"/>
          </w:divBdr>
        </w:div>
      </w:divsChild>
    </w:div>
    <w:div w:id="1395856367">
      <w:bodyDiv w:val="1"/>
      <w:marLeft w:val="0"/>
      <w:marRight w:val="0"/>
      <w:marTop w:val="0"/>
      <w:marBottom w:val="0"/>
      <w:divBdr>
        <w:top w:val="none" w:sz="0" w:space="0" w:color="auto"/>
        <w:left w:val="none" w:sz="0" w:space="0" w:color="auto"/>
        <w:bottom w:val="none" w:sz="0" w:space="0" w:color="auto"/>
        <w:right w:val="none" w:sz="0" w:space="0" w:color="auto"/>
      </w:divBdr>
      <w:divsChild>
        <w:div w:id="1317951736">
          <w:marLeft w:val="547"/>
          <w:marRight w:val="0"/>
          <w:marTop w:val="0"/>
          <w:marBottom w:val="0"/>
          <w:divBdr>
            <w:top w:val="none" w:sz="0" w:space="0" w:color="auto"/>
            <w:left w:val="none" w:sz="0" w:space="0" w:color="auto"/>
            <w:bottom w:val="none" w:sz="0" w:space="0" w:color="auto"/>
            <w:right w:val="none" w:sz="0" w:space="0" w:color="auto"/>
          </w:divBdr>
        </w:div>
      </w:divsChild>
    </w:div>
    <w:div w:id="1421945014">
      <w:bodyDiv w:val="1"/>
      <w:marLeft w:val="0"/>
      <w:marRight w:val="0"/>
      <w:marTop w:val="0"/>
      <w:marBottom w:val="0"/>
      <w:divBdr>
        <w:top w:val="none" w:sz="0" w:space="0" w:color="auto"/>
        <w:left w:val="none" w:sz="0" w:space="0" w:color="auto"/>
        <w:bottom w:val="none" w:sz="0" w:space="0" w:color="auto"/>
        <w:right w:val="none" w:sz="0" w:space="0" w:color="auto"/>
      </w:divBdr>
    </w:div>
    <w:div w:id="1569459220">
      <w:bodyDiv w:val="1"/>
      <w:marLeft w:val="0"/>
      <w:marRight w:val="0"/>
      <w:marTop w:val="0"/>
      <w:marBottom w:val="0"/>
      <w:divBdr>
        <w:top w:val="none" w:sz="0" w:space="0" w:color="auto"/>
        <w:left w:val="none" w:sz="0" w:space="0" w:color="auto"/>
        <w:bottom w:val="none" w:sz="0" w:space="0" w:color="auto"/>
        <w:right w:val="none" w:sz="0" w:space="0" w:color="auto"/>
      </w:divBdr>
    </w:div>
    <w:div w:id="1576091525">
      <w:bodyDiv w:val="1"/>
      <w:marLeft w:val="0"/>
      <w:marRight w:val="0"/>
      <w:marTop w:val="0"/>
      <w:marBottom w:val="0"/>
      <w:divBdr>
        <w:top w:val="none" w:sz="0" w:space="0" w:color="auto"/>
        <w:left w:val="none" w:sz="0" w:space="0" w:color="auto"/>
        <w:bottom w:val="none" w:sz="0" w:space="0" w:color="auto"/>
        <w:right w:val="none" w:sz="0" w:space="0" w:color="auto"/>
      </w:divBdr>
      <w:divsChild>
        <w:div w:id="1035274323">
          <w:marLeft w:val="547"/>
          <w:marRight w:val="0"/>
          <w:marTop w:val="0"/>
          <w:marBottom w:val="0"/>
          <w:divBdr>
            <w:top w:val="none" w:sz="0" w:space="0" w:color="auto"/>
            <w:left w:val="none" w:sz="0" w:space="0" w:color="auto"/>
            <w:bottom w:val="none" w:sz="0" w:space="0" w:color="auto"/>
            <w:right w:val="none" w:sz="0" w:space="0" w:color="auto"/>
          </w:divBdr>
        </w:div>
      </w:divsChild>
    </w:div>
    <w:div w:id="1666200937">
      <w:bodyDiv w:val="1"/>
      <w:marLeft w:val="0"/>
      <w:marRight w:val="0"/>
      <w:marTop w:val="0"/>
      <w:marBottom w:val="0"/>
      <w:divBdr>
        <w:top w:val="none" w:sz="0" w:space="0" w:color="auto"/>
        <w:left w:val="none" w:sz="0" w:space="0" w:color="auto"/>
        <w:bottom w:val="none" w:sz="0" w:space="0" w:color="auto"/>
        <w:right w:val="none" w:sz="0" w:space="0" w:color="auto"/>
      </w:divBdr>
    </w:div>
    <w:div w:id="1690183765">
      <w:bodyDiv w:val="1"/>
      <w:marLeft w:val="0"/>
      <w:marRight w:val="0"/>
      <w:marTop w:val="0"/>
      <w:marBottom w:val="0"/>
      <w:divBdr>
        <w:top w:val="none" w:sz="0" w:space="0" w:color="auto"/>
        <w:left w:val="none" w:sz="0" w:space="0" w:color="auto"/>
        <w:bottom w:val="none" w:sz="0" w:space="0" w:color="auto"/>
        <w:right w:val="none" w:sz="0" w:space="0" w:color="auto"/>
      </w:divBdr>
    </w:div>
    <w:div w:id="1706520399">
      <w:bodyDiv w:val="1"/>
      <w:marLeft w:val="0"/>
      <w:marRight w:val="0"/>
      <w:marTop w:val="0"/>
      <w:marBottom w:val="0"/>
      <w:divBdr>
        <w:top w:val="none" w:sz="0" w:space="0" w:color="auto"/>
        <w:left w:val="none" w:sz="0" w:space="0" w:color="auto"/>
        <w:bottom w:val="none" w:sz="0" w:space="0" w:color="auto"/>
        <w:right w:val="none" w:sz="0" w:space="0" w:color="auto"/>
      </w:divBdr>
      <w:divsChild>
        <w:div w:id="1767460058">
          <w:marLeft w:val="547"/>
          <w:marRight w:val="0"/>
          <w:marTop w:val="0"/>
          <w:marBottom w:val="0"/>
          <w:divBdr>
            <w:top w:val="none" w:sz="0" w:space="0" w:color="auto"/>
            <w:left w:val="none" w:sz="0" w:space="0" w:color="auto"/>
            <w:bottom w:val="none" w:sz="0" w:space="0" w:color="auto"/>
            <w:right w:val="none" w:sz="0" w:space="0" w:color="auto"/>
          </w:divBdr>
        </w:div>
      </w:divsChild>
    </w:div>
    <w:div w:id="1756628881">
      <w:bodyDiv w:val="1"/>
      <w:marLeft w:val="0"/>
      <w:marRight w:val="0"/>
      <w:marTop w:val="0"/>
      <w:marBottom w:val="0"/>
      <w:divBdr>
        <w:top w:val="none" w:sz="0" w:space="0" w:color="auto"/>
        <w:left w:val="none" w:sz="0" w:space="0" w:color="auto"/>
        <w:bottom w:val="none" w:sz="0" w:space="0" w:color="auto"/>
        <w:right w:val="none" w:sz="0" w:space="0" w:color="auto"/>
      </w:divBdr>
      <w:divsChild>
        <w:div w:id="1959264259">
          <w:marLeft w:val="547"/>
          <w:marRight w:val="0"/>
          <w:marTop w:val="0"/>
          <w:marBottom w:val="0"/>
          <w:divBdr>
            <w:top w:val="none" w:sz="0" w:space="0" w:color="auto"/>
            <w:left w:val="none" w:sz="0" w:space="0" w:color="auto"/>
            <w:bottom w:val="none" w:sz="0" w:space="0" w:color="auto"/>
            <w:right w:val="none" w:sz="0" w:space="0" w:color="auto"/>
          </w:divBdr>
        </w:div>
      </w:divsChild>
    </w:div>
    <w:div w:id="1777486181">
      <w:bodyDiv w:val="1"/>
      <w:marLeft w:val="0"/>
      <w:marRight w:val="0"/>
      <w:marTop w:val="0"/>
      <w:marBottom w:val="0"/>
      <w:divBdr>
        <w:top w:val="none" w:sz="0" w:space="0" w:color="auto"/>
        <w:left w:val="none" w:sz="0" w:space="0" w:color="auto"/>
        <w:bottom w:val="none" w:sz="0" w:space="0" w:color="auto"/>
        <w:right w:val="none" w:sz="0" w:space="0" w:color="auto"/>
      </w:divBdr>
    </w:div>
    <w:div w:id="1891375730">
      <w:bodyDiv w:val="1"/>
      <w:marLeft w:val="0"/>
      <w:marRight w:val="0"/>
      <w:marTop w:val="0"/>
      <w:marBottom w:val="0"/>
      <w:divBdr>
        <w:top w:val="none" w:sz="0" w:space="0" w:color="auto"/>
        <w:left w:val="none" w:sz="0" w:space="0" w:color="auto"/>
        <w:bottom w:val="none" w:sz="0" w:space="0" w:color="auto"/>
        <w:right w:val="none" w:sz="0" w:space="0" w:color="auto"/>
      </w:divBdr>
      <w:divsChild>
        <w:div w:id="1981576266">
          <w:marLeft w:val="547"/>
          <w:marRight w:val="0"/>
          <w:marTop w:val="0"/>
          <w:marBottom w:val="0"/>
          <w:divBdr>
            <w:top w:val="none" w:sz="0" w:space="0" w:color="auto"/>
            <w:left w:val="none" w:sz="0" w:space="0" w:color="auto"/>
            <w:bottom w:val="none" w:sz="0" w:space="0" w:color="auto"/>
            <w:right w:val="none" w:sz="0" w:space="0" w:color="auto"/>
          </w:divBdr>
        </w:div>
      </w:divsChild>
    </w:div>
    <w:div w:id="1951275857">
      <w:bodyDiv w:val="1"/>
      <w:marLeft w:val="0"/>
      <w:marRight w:val="0"/>
      <w:marTop w:val="0"/>
      <w:marBottom w:val="0"/>
      <w:divBdr>
        <w:top w:val="none" w:sz="0" w:space="0" w:color="auto"/>
        <w:left w:val="none" w:sz="0" w:space="0" w:color="auto"/>
        <w:bottom w:val="none" w:sz="0" w:space="0" w:color="auto"/>
        <w:right w:val="none" w:sz="0" w:space="0" w:color="auto"/>
      </w:divBdr>
    </w:div>
    <w:div w:id="1990595665">
      <w:bodyDiv w:val="1"/>
      <w:marLeft w:val="0"/>
      <w:marRight w:val="0"/>
      <w:marTop w:val="0"/>
      <w:marBottom w:val="0"/>
      <w:divBdr>
        <w:top w:val="none" w:sz="0" w:space="0" w:color="auto"/>
        <w:left w:val="none" w:sz="0" w:space="0" w:color="auto"/>
        <w:bottom w:val="none" w:sz="0" w:space="0" w:color="auto"/>
        <w:right w:val="none" w:sz="0" w:space="0" w:color="auto"/>
      </w:divBdr>
    </w:div>
    <w:div w:id="2140416961">
      <w:bodyDiv w:val="1"/>
      <w:marLeft w:val="0"/>
      <w:marRight w:val="0"/>
      <w:marTop w:val="0"/>
      <w:marBottom w:val="0"/>
      <w:divBdr>
        <w:top w:val="none" w:sz="0" w:space="0" w:color="auto"/>
        <w:left w:val="none" w:sz="0" w:space="0" w:color="auto"/>
        <w:bottom w:val="none" w:sz="0" w:space="0" w:color="auto"/>
        <w:right w:val="none" w:sz="0" w:space="0" w:color="auto"/>
      </w:divBdr>
      <w:divsChild>
        <w:div w:id="11331344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nuies-tic.anuies.mx/web/" TargetMode="External"/><Relationship Id="rId18" Type="http://schemas.openxmlformats.org/officeDocument/2006/relationships/hyperlink" Target="https://www.conacyt.gob.mx/index.php/el-conacyt/convocatorias-y-resultados-conacyt/convocatorias-pnpc/documentos/924-fundamentos-sobre-la-calidad-educativa-modalidad-no-escolarizada/file" TargetMode="External"/><Relationship Id="rId26" Type="http://schemas.openxmlformats.org/officeDocument/2006/relationships/hyperlink" Target="https://www.redalyc.org/pdf/440/44015082010.pdf" TargetMode="External"/><Relationship Id="rId3" Type="http://schemas.openxmlformats.org/officeDocument/2006/relationships/styles" Target="styles.xml"/><Relationship Id="rId21" Type="http://schemas.openxmlformats.org/officeDocument/2006/relationships/hyperlink" Target="https://eprints.ucm.es/9973/1/APRENDIZAJE__Y_CONSTRUCCION_DEL_CONOCIMIENTO.pdf" TargetMode="External"/><Relationship Id="rId7" Type="http://schemas.openxmlformats.org/officeDocument/2006/relationships/endnotes" Target="endnotes.xml"/><Relationship Id="rId12" Type="http://schemas.openxmlformats.org/officeDocument/2006/relationships/hyperlink" Target="http://www.anuies.mx/" TargetMode="External"/><Relationship Id="rId17" Type="http://schemas.openxmlformats.org/officeDocument/2006/relationships/hyperlink" Target="https://www.conacyt.gob.mx/index.php/el-conacyt/convocatorias-y-resultados-conacyt/convocatorias-pnpc/documentos/19469-instrumento-para-la-evaluacion-de-seguimiento-del-pnpc-posgrados-no-escolarizados/file" TargetMode="External"/><Relationship Id="rId25" Type="http://schemas.openxmlformats.org/officeDocument/2006/relationships/hyperlink" Target="https://www.youtube.com/watch?v=Hks14yXaQYo" TargetMode="External"/><Relationship Id="rId2" Type="http://schemas.openxmlformats.org/officeDocument/2006/relationships/numbering" Target="numbering.xml"/><Relationship Id="rId16" Type="http://schemas.openxmlformats.org/officeDocument/2006/relationships/hyperlink" Target="https://www.conacyt.gob.mx/" TargetMode="External"/><Relationship Id="rId20" Type="http://schemas.openxmlformats.org/officeDocument/2006/relationships/hyperlink" Target="https://www.conacyt.gob.mx/index.php/el-conacyt/convocatorias-y-resultados-conacyt/convocatorias-pnpc/marcos-de-referencia-pnpc/19999-mrr-pnpc-2020/fil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redalyc.org/articulo.oa?id=68835725002" TargetMode="External"/><Relationship Id="rId5" Type="http://schemas.openxmlformats.org/officeDocument/2006/relationships/webSettings" Target="webSettings.xml"/><Relationship Id="rId15" Type="http://schemas.openxmlformats.org/officeDocument/2006/relationships/hyperlink" Target="https://www.youtube.com/watch?v=JbZhW7coXHk" TargetMode="External"/><Relationship Id="rId23" Type="http://schemas.openxmlformats.org/officeDocument/2006/relationships/hyperlink" Target="http://estudio-tic.anuies.mx/"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conacyt.gob.mx/index.php/sni/convocatorias-conacyt/convocatorias-pnpc/marcos-de-referencia-pnpc/19842-marco-referencia-evaluacion-programas-nuevo-ingre/fil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searchgate.net/publication/236678122_Acercamiento_a_las_Nuevas_Modalidades_Educativas_en_el_Instituto_Politecnico_Nacional" TargetMode="External"/><Relationship Id="rId22" Type="http://schemas.openxmlformats.org/officeDocument/2006/relationships/hyperlink" Target="https://www.youtube.com/watch?v=paQCE58334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9C9B9-DA34-490A-A1BA-FDD4A07B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23</Pages>
  <Words>7679</Words>
  <Characters>42238</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Gustavo Toledo</cp:lastModifiedBy>
  <cp:revision>83</cp:revision>
  <cp:lastPrinted>2021-06-15T17:52:00Z</cp:lastPrinted>
  <dcterms:created xsi:type="dcterms:W3CDTF">2021-08-23T17:45:00Z</dcterms:created>
  <dcterms:modified xsi:type="dcterms:W3CDTF">2021-11-18T02:26:00Z</dcterms:modified>
</cp:coreProperties>
</file>